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pPr>
        <w:jc w:val="center"/>
        <w:rPr>
          <w:b/>
          <w:u w:val="single"/>
        </w:rPr>
      </w:pPr>
    </w:p>
    <w:p>
      <w:pPr>
        <w:jc w:val="center"/>
        <w:rPr>
          <w:b/>
          <w:u w:val="single"/>
        </w:rPr>
      </w:pPr>
      <w:r>
        <w:rPr>
          <w:b/>
          <w:u w:val="single"/>
        </w:rPr>
        <w:t>CONVENIO ADMINISTRATIVO DE COLABORACIÓN ENTRE EL EXCELENTÍSIMO AYUNTAMIENTO DE LOS LLANOS DE ARIDANE Y EL ILUSTRE AYUNTAMIENTO DE TIJARAFE PARA LA UTILIZACIÓN RECÍPROCA DE LAS LISTAS DE RESERVA CONSTITUIDAS EN AMBAS CORPORACIONES.</w:t>
      </w:r>
    </w:p>
    <w:p>
      <w:pPr>
        <w:jc w:val="center"/>
        <w:rPr>
          <w:b/>
          <w:u w:val="single"/>
        </w:rPr>
      </w:pPr>
    </w:p>
    <w:p/>
    <w:p>
      <w:pPr>
        <w:jc w:val="both"/>
        <w:rPr>
          <w:rFonts w:ascii="Courier New" w:hAnsi="Courier New" w:cs="Courier New"/>
          <w:szCs w:val="22"/>
        </w:rPr>
      </w:pPr>
      <w:r>
        <w:tab/>
      </w:r>
      <w:r>
        <w:rPr>
          <w:rFonts w:ascii="Courier New" w:hAnsi="Courier New" w:cs="Courier New"/>
          <w:szCs w:val="22"/>
        </w:rPr>
        <w:t>De una parte, Doña MARÍA NOELIA GARCÍA LEAL, con DNI núm. 42.176.951-B Alcaldesa del Excelentísimo Ayuntamiento de Los Llanos de Aridane, con CIF P3802400F, facultada para la firma del presente por acuerdo plenario de fecha 29 de abril de 2021.</w:t>
      </w:r>
    </w:p>
    <w:p>
      <w:pPr>
        <w:jc w:val="both"/>
      </w:pPr>
    </w:p>
    <w:p>
      <w:pPr>
        <w:jc w:val="both"/>
        <w:rPr>
          <w:rFonts w:ascii="Courier New" w:hAnsi="Courier New" w:cs="Courier New"/>
          <w:szCs w:val="22"/>
        </w:rPr>
      </w:pPr>
      <w:r>
        <w:rPr>
          <w:rFonts w:ascii="Courier New" w:hAnsi="Courier New" w:cs="Courier New"/>
          <w:szCs w:val="22"/>
        </w:rPr>
        <w:tab/>
        <w:t>De otra parte, Don Marcos José Lorenzo Martín, con DNI núm. 42.182.145-F Alcalde del Ilustre  Ayuntamiento de Tijarafe, con CIF P3804700G, facultado para la firma del presente por acuerdo en junta de gobierno de fecha 27 de abril de 2021.</w:t>
      </w:r>
    </w:p>
    <w:p>
      <w:pPr>
        <w:jc w:val="both"/>
      </w:pPr>
    </w:p>
    <w:p>
      <w:pPr>
        <w:jc w:val="both"/>
        <w:rPr>
          <w:rFonts w:ascii="Courier New" w:hAnsi="Courier New" w:cs="Courier New"/>
          <w:szCs w:val="22"/>
        </w:rPr>
      </w:pPr>
      <w:r>
        <w:rPr>
          <w:rFonts w:ascii="Courier New" w:hAnsi="Courier New" w:cs="Courier New"/>
          <w:szCs w:val="22"/>
        </w:rPr>
        <w:tab/>
        <w:t>Reconociéndose ambos la capacidad jurídica necesaria para la celebración del presente convenio administrativo de colaboración</w:t>
      </w:r>
    </w:p>
    <w:p>
      <w:pPr>
        <w:jc w:val="both"/>
        <w:rPr>
          <w:rFonts w:ascii="Courier New" w:hAnsi="Courier New" w:cs="Courier New"/>
          <w:szCs w:val="22"/>
        </w:rPr>
      </w:pPr>
    </w:p>
    <w:p>
      <w:pPr>
        <w:jc w:val="both"/>
        <w:rPr>
          <w:rFonts w:ascii="Courier New" w:hAnsi="Courier New" w:cs="Courier New"/>
          <w:szCs w:val="22"/>
        </w:rPr>
      </w:pPr>
      <w:r>
        <w:rPr>
          <w:rFonts w:ascii="Courier New" w:hAnsi="Courier New" w:cs="Courier New"/>
          <w:szCs w:val="22"/>
        </w:rPr>
        <w:t>EXPONEN:</w:t>
      </w:r>
    </w:p>
    <w:p>
      <w:pPr>
        <w:jc w:val="both"/>
        <w:rPr>
          <w:rFonts w:ascii="Courier New" w:hAnsi="Courier New" w:cs="Courier New"/>
          <w:szCs w:val="22"/>
        </w:rPr>
      </w:pPr>
    </w:p>
    <w:p>
      <w:pPr>
        <w:pStyle w:val="NormalWeb"/>
        <w:shd w:val="clear" w:color="auto" w:fill="FFFFFF"/>
        <w:jc w:val="both"/>
      </w:pPr>
      <w:r>
        <w:rPr>
          <w:rFonts w:ascii="Courier New" w:hAnsi="Courier New" w:cs="Courier New"/>
          <w:b/>
          <w:szCs w:val="22"/>
        </w:rPr>
        <w:t>Primero:</w:t>
      </w:r>
      <w:r>
        <w:rPr>
          <w:rFonts w:ascii="Courier New" w:hAnsi="Courier New" w:cs="Courier New"/>
          <w:szCs w:val="22"/>
        </w:rPr>
        <w:t>Que las Administraciones públicas actúan y se relacionan de acuerdo con el principio de lealtad institucional y, en consecuencia, deben prestar  en el ámbito propio, la cooperación y asistencia activas que las otras Administraciones pudieran recabar para el eficaz ejercicio de sus competencias.</w:t>
      </w:r>
    </w:p>
    <w:p>
      <w:pPr>
        <w:pStyle w:val="NormalWeb"/>
        <w:shd w:val="clear" w:color="auto" w:fill="FFFFFF"/>
        <w:jc w:val="both"/>
      </w:pPr>
      <w:r>
        <w:rPr>
          <w:rFonts w:ascii="Courier New" w:hAnsi="Courier New" w:cs="Courier New"/>
          <w:b/>
          <w:bCs/>
          <w:color w:val="222222"/>
          <w:szCs w:val="22"/>
        </w:rPr>
        <w:t xml:space="preserve">Segundo: </w:t>
      </w:r>
      <w:r>
        <w:rPr>
          <w:rFonts w:ascii="Courier New" w:hAnsi="Courier New" w:cs="Courier New"/>
          <w:bCs/>
          <w:color w:val="222222"/>
          <w:szCs w:val="22"/>
        </w:rPr>
        <w:t>Que la</w:t>
      </w:r>
      <w:r>
        <w:rPr>
          <w:rFonts w:ascii="Courier New" w:hAnsi="Courier New" w:cs="Courier New"/>
          <w:color w:val="222222"/>
          <w:szCs w:val="22"/>
        </w:rPr>
        <w:t xml:space="preserve"> asistencia y cooperación requerida sólo podrá negarse cuando el ente del que se solicita no esté facultado para prestarla, no disponga de medios suficientes para ello o cuando, de hacerlo, causara un perjuicio grave a los intereses cuya tutela tiene encomendada o al cumplimiento de sus propias funciones. La negativa a prestar la asistencia se comunicará motivadamente a la Administración solicitante.</w:t>
      </w:r>
    </w:p>
    <w:p>
      <w:pPr>
        <w:jc w:val="both"/>
      </w:pPr>
      <w:r>
        <w:rPr>
          <w:rFonts w:ascii="Courier New" w:hAnsi="Courier New" w:cs="Courier New"/>
          <w:b/>
          <w:szCs w:val="22"/>
        </w:rPr>
        <w:t xml:space="preserve">Tercero: </w:t>
      </w:r>
      <w:r>
        <w:rPr>
          <w:rFonts w:ascii="Courier New" w:hAnsi="Courier New" w:cs="Courier New"/>
          <w:szCs w:val="22"/>
        </w:rPr>
        <w:t>Que las Administraciones Locales, como administraciones más próximas al ciudadano, asumen en virtud de distintas normativas sectoriales una serie de competencias y servicios, cada vez más especializados y profesionalizados a fin de satisfacer la creciente demanda ciudadana.</w:t>
      </w:r>
    </w:p>
    <w:p>
      <w:pPr>
        <w:jc w:val="both"/>
        <w:rPr>
          <w:rFonts w:ascii="Courier New" w:hAnsi="Courier New" w:cs="Courier New"/>
          <w:szCs w:val="22"/>
        </w:rPr>
      </w:pPr>
    </w:p>
    <w:p>
      <w:pPr>
        <w:jc w:val="both"/>
      </w:pPr>
      <w:r>
        <w:rPr>
          <w:rFonts w:ascii="Courier New" w:hAnsi="Courier New" w:cs="Courier New"/>
          <w:b/>
          <w:szCs w:val="22"/>
        </w:rPr>
        <w:t>Cuarto:</w:t>
      </w:r>
      <w:r>
        <w:rPr>
          <w:rFonts w:ascii="Courier New" w:hAnsi="Courier New" w:cs="Courier New"/>
          <w:szCs w:val="22"/>
        </w:rPr>
        <w:t xml:space="preserve"> Que la especialización y diversidad de servicios crea problemas de gestión a la hora de provisión de los distintos puestos de trabajo. Puestos que han de ser cubiertos con carácter de urgencia para evitar que se queden sin prestar servicios públicos esenciales, garantizando el máximo respeto a los principios de igualdad, mérito, capacidad y publicidad.</w:t>
      </w:r>
    </w:p>
    <w:p>
      <w:pPr>
        <w:jc w:val="both"/>
        <w:rPr>
          <w:rFonts w:ascii="Courier New" w:hAnsi="Courier New" w:cs="Courier New"/>
          <w:szCs w:val="22"/>
        </w:rPr>
      </w:pPr>
    </w:p>
    <w:p>
      <w:pPr>
        <w:jc w:val="both"/>
      </w:pPr>
      <w:r>
        <w:rPr>
          <w:rFonts w:ascii="Courier New" w:hAnsi="Courier New" w:cs="Courier New"/>
          <w:b/>
          <w:szCs w:val="22"/>
        </w:rPr>
        <w:t>Quinto:</w:t>
      </w:r>
      <w:r>
        <w:rPr>
          <w:rFonts w:ascii="Courier New" w:hAnsi="Courier New" w:cs="Courier New"/>
          <w:szCs w:val="22"/>
        </w:rPr>
        <w:t xml:space="preserve"> Que el recurso a las bolsas de trabajo o listas de reserva es la forma más adecuada de cubrir las necesidades de efectivos que van surgiendo.</w:t>
      </w:r>
    </w:p>
    <w:p>
      <w:pPr>
        <w:jc w:val="both"/>
        <w:rPr>
          <w:rFonts w:ascii="Courier New" w:hAnsi="Courier New" w:cs="Courier New"/>
          <w:szCs w:val="22"/>
        </w:rPr>
      </w:pPr>
    </w:p>
    <w:p>
      <w:pPr>
        <w:jc w:val="both"/>
      </w:pPr>
      <w:r>
        <w:rPr>
          <w:rFonts w:ascii="Courier New" w:hAnsi="Courier New" w:cs="Courier New"/>
          <w:b/>
          <w:szCs w:val="22"/>
        </w:rPr>
        <w:t>Sexto:</w:t>
      </w:r>
      <w:r>
        <w:rPr>
          <w:rFonts w:ascii="Courier New" w:hAnsi="Courier New" w:cs="Courier New"/>
          <w:szCs w:val="22"/>
        </w:rPr>
        <w:t xml:space="preserve"> Que la diversa tipología de servicios que prestan las Entidades Locales y la misma cualificación que ha de exigirse a los profesionales complica que en cada Corporación haya bolsas de reserva que den respuesta a todas las necesidades que se van planteando.</w:t>
      </w:r>
    </w:p>
    <w:p>
      <w:pPr>
        <w:jc w:val="both"/>
        <w:rPr>
          <w:rFonts w:ascii="Courier New" w:hAnsi="Courier New" w:cs="Courier New"/>
          <w:szCs w:val="22"/>
        </w:rPr>
      </w:pPr>
    </w:p>
    <w:p>
      <w:pPr>
        <w:jc w:val="both"/>
        <w:rPr>
          <w:rFonts w:ascii="Courier New" w:hAnsi="Courier New" w:cs="Courier New"/>
          <w:szCs w:val="22"/>
        </w:rPr>
      </w:pPr>
      <w:r>
        <w:rPr>
          <w:rFonts w:ascii="Courier New" w:hAnsi="Courier New" w:cs="Courier New"/>
          <w:b/>
          <w:szCs w:val="22"/>
        </w:rPr>
        <w:t>Séptimo:</w:t>
      </w:r>
      <w:r>
        <w:rPr>
          <w:rFonts w:ascii="Courier New" w:hAnsi="Courier New" w:cs="Courier New"/>
          <w:szCs w:val="22"/>
        </w:rPr>
        <w:t xml:space="preserve"> Que la Recomendación Nº 2 emitida por la Viceconsejería de Administración Pública del Gobierno de Canarias establece que se recomienda a cada Corporación Local constituir, mediante convocatoria pública, listas de reserva para la sustitución temporal de sus trabajadores. De no disponer de tales listas, se podrá acudir a las constituidas por otras entidades locales o por el Cabildo Insular respectivo para la contratación de personal con vínculo laboral y ausencia temporal, por razones de urgencia en la prestación del servicio.</w:t>
      </w:r>
    </w:p>
    <w:p>
      <w:pPr>
        <w:jc w:val="both"/>
      </w:pPr>
    </w:p>
    <w:p>
      <w:pPr>
        <w:jc w:val="both"/>
      </w:pPr>
      <w:r>
        <w:rPr>
          <w:rFonts w:ascii="Courier New" w:hAnsi="Courier New" w:cs="Courier New"/>
          <w:szCs w:val="22"/>
        </w:rPr>
        <w:tab/>
        <w:t xml:space="preserve">Visto cuanto antecede, las partes formantes </w:t>
      </w:r>
      <w:r>
        <w:rPr>
          <w:rFonts w:ascii="Courier New" w:hAnsi="Courier New" w:cs="Courier New"/>
          <w:b/>
          <w:szCs w:val="22"/>
          <w:u w:val="single"/>
        </w:rPr>
        <w:t>ACUERDAN:</w:t>
      </w:r>
    </w:p>
    <w:p>
      <w:pPr>
        <w:jc w:val="both"/>
        <w:rPr>
          <w:rFonts w:ascii="Courier New" w:hAnsi="Courier New" w:cs="Courier New"/>
          <w:szCs w:val="22"/>
        </w:rPr>
      </w:pPr>
    </w:p>
    <w:p>
      <w:pPr>
        <w:jc w:val="both"/>
      </w:pPr>
      <w:r>
        <w:rPr>
          <w:rFonts w:ascii="Courier New" w:hAnsi="Courier New" w:cs="Courier New"/>
          <w:b/>
          <w:szCs w:val="22"/>
        </w:rPr>
        <w:t>Primero:</w:t>
      </w:r>
      <w:r>
        <w:rPr>
          <w:rFonts w:ascii="Courier New" w:hAnsi="Courier New" w:cs="Courier New"/>
          <w:szCs w:val="22"/>
        </w:rPr>
        <w:t xml:space="preserve"> Que el Ayuntamiento de Los Llanos de Aridane y el Ayuntamiento de Tijarafe, recíprocamente, se sirvan de las listas de reserva que tengan constituidas tales Corporaciones para la provisión de puestos de trabajado afectos a servicios esenciales, con vínculo laboral y de carácter temporal.</w:t>
      </w:r>
    </w:p>
    <w:p>
      <w:pPr>
        <w:jc w:val="both"/>
        <w:rPr>
          <w:rFonts w:ascii="Courier New" w:hAnsi="Courier New" w:cs="Courier New"/>
          <w:szCs w:val="22"/>
        </w:rPr>
      </w:pPr>
    </w:p>
    <w:p>
      <w:pPr>
        <w:jc w:val="both"/>
      </w:pPr>
      <w:r>
        <w:rPr>
          <w:rFonts w:ascii="Courier New" w:hAnsi="Courier New" w:cs="Courier New"/>
          <w:b/>
          <w:szCs w:val="22"/>
        </w:rPr>
        <w:t>Segundo:</w:t>
      </w:r>
      <w:r>
        <w:rPr>
          <w:rFonts w:ascii="Courier New" w:hAnsi="Courier New" w:cs="Courier New"/>
          <w:szCs w:val="22"/>
        </w:rPr>
        <w:t xml:space="preserve"> Que el procedimiento de comunicación entre ambas Corporaciones sea ágil, debiendo girar la Administración interesada en el uso de la bolsa solicitud escrita a la administración que la tenga constituida. La estimación o desestimación de la solicitud habrá de hacerse por escrito, estando motivada la respuesta en aquellos supuestos expresamente previstos en la normativa de procedimiento administrativo.</w:t>
      </w:r>
    </w:p>
    <w:p>
      <w:pPr>
        <w:jc w:val="both"/>
        <w:rPr>
          <w:rFonts w:ascii="Courier New" w:hAnsi="Courier New" w:cs="Courier New"/>
          <w:szCs w:val="22"/>
        </w:rPr>
      </w:pPr>
    </w:p>
    <w:p>
      <w:pPr>
        <w:jc w:val="both"/>
      </w:pPr>
      <w:r>
        <w:rPr>
          <w:rFonts w:ascii="Courier New" w:hAnsi="Courier New" w:cs="Courier New"/>
          <w:b/>
          <w:szCs w:val="22"/>
        </w:rPr>
        <w:t>Tercero:</w:t>
      </w:r>
      <w:r>
        <w:rPr>
          <w:rFonts w:ascii="Courier New" w:hAnsi="Courier New" w:cs="Courier New"/>
          <w:szCs w:val="22"/>
        </w:rPr>
        <w:t xml:space="preserve"> La Administración titular de la bolsa tendrá prioridad para recurrir a la misma a los efectos de cubrir sus necesidades de personal.</w:t>
      </w:r>
    </w:p>
    <w:p>
      <w:pPr>
        <w:jc w:val="both"/>
        <w:rPr>
          <w:rFonts w:ascii="Courier New" w:hAnsi="Courier New" w:cs="Courier New"/>
          <w:szCs w:val="22"/>
        </w:rPr>
      </w:pPr>
    </w:p>
    <w:p>
      <w:pPr>
        <w:jc w:val="both"/>
      </w:pPr>
      <w:r>
        <w:rPr>
          <w:rFonts w:ascii="Courier New" w:hAnsi="Courier New" w:cs="Courier New"/>
          <w:b/>
          <w:szCs w:val="22"/>
        </w:rPr>
        <w:t>Cuarto:</w:t>
      </w:r>
      <w:r>
        <w:rPr>
          <w:rFonts w:ascii="Courier New" w:hAnsi="Courier New" w:cs="Courier New"/>
          <w:szCs w:val="22"/>
        </w:rPr>
        <w:t xml:space="preserve"> Para la interpretación de este convenio y la resolución de las dudas que ofrezca su cumplimiento se constituirá una comisión paritaria entre los alcaldes y concejales de personal de cada Corporación, actuando como secretario un funcionario de carrera de la Corporación solicitante de la reunión que se celebre.</w:t>
      </w:r>
    </w:p>
    <w:p>
      <w:pPr>
        <w:jc w:val="both"/>
        <w:rPr>
          <w:rFonts w:ascii="Courier New" w:hAnsi="Courier New" w:cs="Courier New"/>
          <w:szCs w:val="22"/>
        </w:rPr>
      </w:pPr>
    </w:p>
    <w:p>
      <w:pPr>
        <w:jc w:val="both"/>
      </w:pPr>
      <w:r>
        <w:rPr>
          <w:rFonts w:ascii="Courier New" w:hAnsi="Courier New" w:cs="Courier New"/>
          <w:b/>
          <w:szCs w:val="22"/>
        </w:rPr>
        <w:t>Quinto:</w:t>
      </w:r>
      <w:r>
        <w:rPr>
          <w:rFonts w:ascii="Courier New" w:hAnsi="Courier New" w:cs="Courier New"/>
          <w:szCs w:val="22"/>
        </w:rPr>
        <w:t xml:space="preserve"> Que este convenio sea publicado en el Boletín Oficial de la Provincia de Santa Cruz de Tenerife, a los efectos de conocimiento por parte de eventuales interesados de la posibilidad de ser contratados por ambas administraciones.</w:t>
      </w:r>
    </w:p>
    <w:p>
      <w:pPr>
        <w:jc w:val="both"/>
        <w:rPr>
          <w:rFonts w:ascii="Courier New" w:hAnsi="Courier New" w:cs="Courier New"/>
          <w:szCs w:val="22"/>
        </w:rPr>
      </w:pPr>
    </w:p>
    <w:p>
      <w:pPr>
        <w:jc w:val="both"/>
      </w:pPr>
      <w:r>
        <w:rPr>
          <w:rFonts w:ascii="Courier New" w:hAnsi="Courier New" w:cs="Courier New"/>
          <w:b/>
          <w:szCs w:val="22"/>
        </w:rPr>
        <w:t>Sexto:</w:t>
      </w:r>
      <w:r>
        <w:rPr>
          <w:rFonts w:ascii="Courier New" w:hAnsi="Courier New" w:cs="Courier New"/>
          <w:szCs w:val="22"/>
        </w:rPr>
        <w:t xml:space="preserve"> El presente convenio entrará en vigor al día siguiente de su firma, y tendrá vigencia de un año, prorrogables automáticamente si no hay denuncia por periodos iguales, hasta un máximo de cuatro años. </w:t>
      </w:r>
    </w:p>
    <w:p>
      <w:pPr>
        <w:jc w:val="both"/>
        <w:rPr>
          <w:rFonts w:ascii="Courier New" w:hAnsi="Courier New" w:cs="Courier New"/>
          <w:szCs w:val="22"/>
        </w:rPr>
      </w:pPr>
      <w:r>
        <w:rPr>
          <w:rFonts w:ascii="Courier New" w:hAnsi="Courier New" w:cs="Courier New"/>
          <w:szCs w:val="22"/>
        </w:rPr>
        <w:lastRenderedPageBreak/>
        <w:t xml:space="preserve">Se prevé la modificación del presente Convenio previo acuerdo unánime de ambas administraciones. </w:t>
      </w:r>
    </w:p>
    <w:p>
      <w:pPr>
        <w:jc w:val="both"/>
        <w:rPr>
          <w:rFonts w:ascii="Courier New" w:hAnsi="Courier New" w:cs="Courier New"/>
          <w:szCs w:val="22"/>
        </w:rPr>
      </w:pPr>
    </w:p>
    <w:p>
      <w:pPr>
        <w:jc w:val="both"/>
      </w:pPr>
      <w:r>
        <w:rPr>
          <w:rFonts w:ascii="Courier New" w:hAnsi="Courier New" w:cs="Courier New"/>
          <w:b/>
          <w:szCs w:val="22"/>
        </w:rPr>
        <w:t>Séptimo:</w:t>
      </w:r>
      <w:r>
        <w:rPr>
          <w:rFonts w:ascii="Courier New" w:hAnsi="Courier New" w:cs="Courier New"/>
          <w:szCs w:val="22"/>
        </w:rPr>
        <w:t xml:space="preserve"> Que la resolución anticipada del convenio habrá de comunicarse a la otra administración por escrito con la antelación mínima de un mes, sin que ésta afecte a los contratos vigentes.</w:t>
      </w:r>
    </w:p>
    <w:p>
      <w:pPr>
        <w:jc w:val="both"/>
        <w:rPr>
          <w:rFonts w:ascii="Courier New" w:hAnsi="Courier New" w:cs="Courier New"/>
          <w:szCs w:val="22"/>
        </w:rPr>
      </w:pPr>
    </w:p>
    <w:p>
      <w:pPr>
        <w:jc w:val="both"/>
      </w:pPr>
      <w:r>
        <w:rPr>
          <w:rFonts w:ascii="Courier New" w:hAnsi="Courier New" w:cs="Courier New"/>
          <w:b/>
          <w:szCs w:val="22"/>
        </w:rPr>
        <w:t>Octavo:</w:t>
      </w:r>
      <w:r>
        <w:rPr>
          <w:rFonts w:ascii="Courier New" w:hAnsi="Courier New" w:cs="Courier New"/>
          <w:szCs w:val="22"/>
        </w:rPr>
        <w:t xml:space="preserve"> Que son cauda de resolución:</w:t>
      </w:r>
    </w:p>
    <w:p>
      <w:pPr>
        <w:numPr>
          <w:ilvl w:val="0"/>
          <w:numId w:val="1"/>
        </w:numPr>
        <w:jc w:val="both"/>
        <w:rPr>
          <w:rFonts w:ascii="Courier New" w:hAnsi="Courier New" w:cs="Courier New"/>
          <w:szCs w:val="22"/>
        </w:rPr>
      </w:pPr>
      <w:r>
        <w:rPr>
          <w:rFonts w:ascii="Courier New" w:hAnsi="Courier New" w:cs="Courier New"/>
          <w:szCs w:val="22"/>
        </w:rPr>
        <w:t>El transcurso del período de vigencia del convenio.</w:t>
      </w:r>
    </w:p>
    <w:p>
      <w:pPr>
        <w:numPr>
          <w:ilvl w:val="0"/>
          <w:numId w:val="1"/>
        </w:numPr>
        <w:jc w:val="both"/>
        <w:rPr>
          <w:rFonts w:ascii="Courier New" w:hAnsi="Courier New" w:cs="Courier New"/>
          <w:szCs w:val="22"/>
        </w:rPr>
      </w:pPr>
      <w:r>
        <w:rPr>
          <w:rFonts w:ascii="Courier New" w:hAnsi="Courier New" w:cs="Courier New"/>
          <w:szCs w:val="22"/>
        </w:rPr>
        <w:t>El incumplimiento por cualquiera de las partes de las obligaciones asumidas en virtud del presente convenio.</w:t>
      </w:r>
    </w:p>
    <w:p>
      <w:pPr>
        <w:numPr>
          <w:ilvl w:val="0"/>
          <w:numId w:val="1"/>
        </w:numPr>
        <w:jc w:val="both"/>
        <w:rPr>
          <w:rFonts w:ascii="Courier New" w:hAnsi="Courier New" w:cs="Courier New"/>
          <w:szCs w:val="22"/>
        </w:rPr>
      </w:pPr>
      <w:r>
        <w:rPr>
          <w:rFonts w:ascii="Courier New" w:hAnsi="Courier New" w:cs="Courier New"/>
          <w:szCs w:val="22"/>
        </w:rPr>
        <w:t>El mutuo acuerdo.</w:t>
      </w:r>
    </w:p>
    <w:p>
      <w:pPr>
        <w:jc w:val="both"/>
        <w:rPr>
          <w:rFonts w:ascii="Courier New" w:hAnsi="Courier New" w:cs="Courier New"/>
          <w:szCs w:val="22"/>
        </w:rPr>
      </w:pPr>
    </w:p>
    <w:p>
      <w:pPr>
        <w:jc w:val="both"/>
        <w:rPr>
          <w:rFonts w:ascii="Courier New" w:hAnsi="Courier New" w:cs="Courier New"/>
          <w:szCs w:val="22"/>
        </w:rPr>
      </w:pPr>
      <w:r>
        <w:rPr>
          <w:rFonts w:ascii="Courier New" w:hAnsi="Courier New" w:cs="Courier New"/>
          <w:b/>
          <w:szCs w:val="22"/>
        </w:rPr>
        <w:t>Noveno:</w:t>
      </w:r>
      <w:r>
        <w:rPr>
          <w:rFonts w:ascii="Courier New" w:hAnsi="Courier New" w:cs="Courier New"/>
          <w:szCs w:val="22"/>
        </w:rPr>
        <w:t xml:space="preserve"> Que el presente convenio tiene naturaleza administrativa, habiéndose de regir  en lo no previsto en él por la normativa de procedimiento administrativo y la normativa de régimen local.</w:t>
      </w:r>
    </w:p>
    <w:p>
      <w:pPr>
        <w:jc w:val="both"/>
      </w:pPr>
    </w:p>
    <w:p>
      <w:pPr>
        <w:jc w:val="both"/>
        <w:rPr>
          <w:rFonts w:ascii="Courier New" w:hAnsi="Courier New" w:cs="Courier New"/>
          <w:szCs w:val="22"/>
        </w:rPr>
      </w:pPr>
      <w:r>
        <w:rPr>
          <w:rFonts w:ascii="Courier New" w:hAnsi="Courier New" w:cs="Courier New"/>
          <w:szCs w:val="22"/>
        </w:rPr>
        <w:tab/>
        <w:t>Y, en prueba de conformidad, las partes rubrican el presente, en Los Llanos de Aridane,  a 29 de abril de 2021 de lo que, como Secretaria, Doy Fe.</w:t>
      </w:r>
    </w:p>
    <w:p>
      <w:pPr>
        <w:jc w:val="both"/>
        <w:rPr>
          <w:rFonts w:ascii="Courier New" w:hAnsi="Courier New" w:cs="Courier New"/>
          <w:szCs w:val="22"/>
        </w:rPr>
      </w:pPr>
    </w:p>
    <w:p>
      <w:pPr>
        <w:jc w:val="both"/>
        <w:rPr>
          <w:rFonts w:ascii="Courier New" w:hAnsi="Courier New" w:cs="Courier New"/>
          <w:szCs w:val="22"/>
        </w:rPr>
      </w:pPr>
      <w:r>
        <w:rPr>
          <w:rFonts w:ascii="Courier New" w:hAnsi="Courier New" w:cs="Courier New"/>
          <w:szCs w:val="22"/>
        </w:rPr>
        <w:t>En Tijarafe, a 27 de abril de 2021 de lo que, como Secretario, Doy Fe.</w:t>
      </w:r>
    </w:p>
    <w:p>
      <w:pPr>
        <w:jc w:val="both"/>
        <w:rPr>
          <w:rFonts w:ascii="Courier New" w:hAnsi="Courier New" w:cs="Courier New"/>
          <w:szCs w:val="22"/>
        </w:rPr>
      </w:pPr>
    </w:p>
    <w:p>
      <w:pPr>
        <w:jc w:val="both"/>
        <w:rPr>
          <w:rFonts w:ascii="Courier New" w:hAnsi="Courier New" w:cs="Courier New"/>
          <w:szCs w:val="22"/>
        </w:rPr>
      </w:pPr>
    </w:p>
    <w:p>
      <w:pPr>
        <w:jc w:val="both"/>
        <w:rPr>
          <w:rFonts w:ascii="Courier New" w:hAnsi="Courier New" w:cs="Courier New"/>
          <w:szCs w:val="22"/>
        </w:rPr>
      </w:pPr>
    </w:p>
    <w:p>
      <w:pPr>
        <w:jc w:val="both"/>
        <w:rPr>
          <w:rFonts w:ascii="Courier New" w:hAnsi="Courier New" w:cs="Courier New"/>
          <w:szCs w:val="22"/>
        </w:rPr>
      </w:pPr>
      <w:r>
        <w:rPr>
          <w:rFonts w:ascii="Courier New" w:hAnsi="Courier New" w:cs="Courier New"/>
          <w:szCs w:val="22"/>
        </w:rPr>
        <w:tab/>
      </w:r>
    </w:p>
    <w:p>
      <w:pPr>
        <w:jc w:val="both"/>
        <w:rPr>
          <w:rFonts w:ascii="Courier New" w:hAnsi="Courier New" w:cs="Courier New"/>
          <w:szCs w:val="22"/>
        </w:rPr>
      </w:pPr>
      <w:r>
        <w:rPr>
          <w:rFonts w:ascii="Courier New" w:hAnsi="Courier New" w:cs="Courier New"/>
          <w:szCs w:val="22"/>
        </w:rPr>
        <w:t>María Noelia García Leal</w:t>
      </w:r>
      <w:r>
        <w:rPr>
          <w:rFonts w:ascii="Courier New" w:hAnsi="Courier New" w:cs="Courier New"/>
          <w:szCs w:val="22"/>
        </w:rPr>
        <w:tab/>
      </w:r>
      <w:r>
        <w:rPr>
          <w:rFonts w:ascii="Courier New" w:hAnsi="Courier New" w:cs="Courier New"/>
          <w:szCs w:val="22"/>
        </w:rPr>
        <w:tab/>
        <w:t>Marcos José Lorenzo Martín</w:t>
      </w:r>
    </w:p>
    <w:p>
      <w:pPr>
        <w:jc w:val="both"/>
        <w:rPr>
          <w:rFonts w:ascii="Courier New" w:hAnsi="Courier New" w:cs="Courier New"/>
          <w:szCs w:val="22"/>
        </w:rPr>
      </w:pPr>
      <w:r>
        <w:rPr>
          <w:rFonts w:ascii="Courier New" w:hAnsi="Courier New" w:cs="Courier New"/>
          <w:szCs w:val="22"/>
        </w:rPr>
        <w:t>Ayto. Los Llanos de Aridane</w:t>
      </w:r>
      <w:r>
        <w:rPr>
          <w:rFonts w:ascii="Courier New" w:hAnsi="Courier New" w:cs="Courier New"/>
          <w:szCs w:val="22"/>
        </w:rPr>
        <w:tab/>
        <w:t>Ayto de Tijarafe</w:t>
      </w:r>
    </w:p>
    <w:p>
      <w:pPr>
        <w:jc w:val="both"/>
        <w:rPr>
          <w:rFonts w:ascii="Courier New" w:hAnsi="Courier New" w:cs="Courier New"/>
          <w:szCs w:val="22"/>
        </w:rPr>
      </w:pPr>
    </w:p>
    <w:p>
      <w:pPr>
        <w:jc w:val="both"/>
        <w:rPr>
          <w:rFonts w:ascii="Courier New" w:hAnsi="Courier New" w:cs="Courier New"/>
          <w:szCs w:val="22"/>
        </w:rPr>
      </w:pPr>
    </w:p>
    <w:p>
      <w:pPr>
        <w:jc w:val="both"/>
        <w:rPr>
          <w:rFonts w:ascii="Courier New" w:hAnsi="Courier New" w:cs="Courier New"/>
          <w:szCs w:val="22"/>
        </w:rPr>
      </w:pPr>
    </w:p>
    <w:p>
      <w:pPr>
        <w:jc w:val="both"/>
        <w:rPr>
          <w:rFonts w:ascii="Courier New" w:hAnsi="Courier New" w:cs="Courier New"/>
          <w:szCs w:val="22"/>
        </w:rPr>
      </w:pPr>
    </w:p>
    <w:p>
      <w:pPr>
        <w:jc w:val="both"/>
        <w:rPr>
          <w:rFonts w:ascii="Courier New" w:hAnsi="Courier New" w:cs="Courier New"/>
          <w:szCs w:val="22"/>
        </w:rPr>
      </w:pPr>
    </w:p>
    <w:p>
      <w:pPr>
        <w:rPr>
          <w:rFonts w:ascii="Courier New" w:hAnsi="Courier New" w:cs="Courier New"/>
          <w:szCs w:val="22"/>
        </w:rPr>
      </w:pPr>
      <w:r>
        <w:rPr>
          <w:rFonts w:ascii="Courier New" w:hAnsi="Courier New" w:cs="Courier New"/>
          <w:szCs w:val="22"/>
        </w:rPr>
        <w:t>Doy Fe,</w:t>
      </w:r>
      <w:r>
        <w:rPr>
          <w:rFonts w:ascii="Courier New" w:hAnsi="Courier New" w:cs="Courier New"/>
          <w:szCs w:val="22"/>
        </w:rPr>
        <w:tab/>
      </w:r>
      <w:r>
        <w:rPr>
          <w:rFonts w:ascii="Courier New" w:hAnsi="Courier New" w:cs="Courier New"/>
          <w:szCs w:val="22"/>
        </w:rPr>
        <w:tab/>
      </w:r>
      <w:r>
        <w:rPr>
          <w:rFonts w:ascii="Courier New" w:hAnsi="Courier New" w:cs="Courier New"/>
          <w:szCs w:val="22"/>
        </w:rPr>
        <w:tab/>
      </w:r>
      <w:r>
        <w:rPr>
          <w:rFonts w:ascii="Courier New" w:hAnsi="Courier New" w:cs="Courier New"/>
          <w:szCs w:val="22"/>
        </w:rPr>
        <w:tab/>
      </w:r>
      <w:r>
        <w:rPr>
          <w:rFonts w:ascii="Courier New" w:hAnsi="Courier New" w:cs="Courier New"/>
          <w:szCs w:val="22"/>
        </w:rPr>
        <w:tab/>
        <w:t>Doy Fe,</w:t>
      </w:r>
    </w:p>
    <w:p>
      <w:pPr>
        <w:rPr>
          <w:rFonts w:ascii="Courier New" w:hAnsi="Courier New" w:cs="Courier New"/>
          <w:szCs w:val="22"/>
        </w:rPr>
      </w:pPr>
      <w:bookmarkStart w:id="0" w:name="_GoBack"/>
      <w:bookmarkEnd w:id="0"/>
      <w:r>
        <w:rPr>
          <w:rFonts w:ascii="Courier New" w:hAnsi="Courier New" w:cs="Courier New"/>
          <w:szCs w:val="22"/>
        </w:rPr>
        <w:t>Miriam Pérez Afonso</w:t>
      </w:r>
      <w:r>
        <w:rPr>
          <w:rFonts w:ascii="Courier New" w:hAnsi="Courier New" w:cs="Courier New"/>
          <w:szCs w:val="22"/>
        </w:rPr>
        <w:tab/>
      </w:r>
      <w:r>
        <w:rPr>
          <w:rFonts w:ascii="Courier New" w:hAnsi="Courier New" w:cs="Courier New"/>
          <w:szCs w:val="22"/>
        </w:rPr>
        <w:tab/>
      </w:r>
      <w:r>
        <w:rPr>
          <w:rFonts w:ascii="Courier New" w:hAnsi="Courier New" w:cs="Courier New"/>
          <w:szCs w:val="22"/>
        </w:rPr>
        <w:tab/>
        <w:t>Pedro Miguel Acosta Lorenzo</w:t>
      </w:r>
    </w:p>
    <w:p>
      <w:pPr>
        <w:jc w:val="center"/>
        <w:rPr>
          <w:rFonts w:ascii="Courier New" w:hAnsi="Courier New" w:cs="Courier New"/>
          <w:szCs w:val="22"/>
        </w:rPr>
      </w:pPr>
    </w:p>
    <w:p>
      <w:pPr>
        <w:jc w:val="both"/>
      </w:pPr>
    </w:p>
    <w:sectPr>
      <w:headerReference w:type="default" r:id="rId8"/>
      <w:footerReference w:type="default" r:id="rId9"/>
      <w:pgSz w:w="11906" w:h="16838"/>
      <w:pgMar w:top="1999" w:right="1701" w:bottom="1548" w:left="1701" w:header="709" w:footer="709" w:gutter="0"/>
      <w:cols w:space="720"/>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Textoindependiente"/>
      <w:pBdr>
        <w:top w:val="single" w:sz="4" w:space="5" w:color="000000"/>
      </w:pBdr>
      <w:jc w:val="center"/>
      <w:rPr>
        <w:b/>
      </w:rPr>
    </w:pPr>
    <w:r>
      <w:rPr>
        <w:b/>
      </w:rPr>
      <w:t>Ayuntamiento de Tijarafe</w:t>
    </w:r>
  </w:p>
  <w:p>
    <w:pPr>
      <w:pStyle w:val="Textoindependiente"/>
      <w:jc w:val="center"/>
      <w:rPr>
        <w:sz w:val="16"/>
      </w:rPr>
    </w:pPr>
    <w:r>
      <w:rPr>
        <w:sz w:val="16"/>
      </w:rPr>
      <w:t>Plaza La Paz s/n, Tijarafe. 38780 Santa Cruz de Tenerife. Tfno. 922 490 003. Fax: 922 490 249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1"/>
    </w:pPr>
    <w:r>
      <w:rPr>
        <w:noProof/>
        <w:lang w:eastAsia="es-ES"/>
      </w:rPr>
      <w:drawing>
        <wp:anchor distT="0" distB="0" distL="0" distR="0" simplePos="0" relativeHeight="4" behindDoc="1" locked="0" layoutInCell="1" allowOverlap="1">
          <wp:simplePos x="0" y="0"/>
          <wp:positionH relativeFrom="column">
            <wp:posOffset>3858260</wp:posOffset>
          </wp:positionH>
          <wp:positionV relativeFrom="paragraph">
            <wp:posOffset>-28575</wp:posOffset>
          </wp:positionV>
          <wp:extent cx="1242695" cy="713105"/>
          <wp:effectExtent l="0" t="0" r="0" b="0"/>
          <wp:wrapTopAndBottom/>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1242695" cy="713105"/>
                  </a:xfrm>
                  <a:prstGeom prst="rect">
                    <a:avLst/>
                  </a:prstGeom>
                </pic:spPr>
              </pic:pic>
            </a:graphicData>
          </a:graphic>
        </wp:anchor>
      </w:drawing>
    </w:r>
    <w:r>
      <w:rPr>
        <w:noProof/>
        <w:lang w:eastAsia="es-ES"/>
      </w:rPr>
      <w:drawing>
        <wp:inline distT="0" distB="0" distL="0" distR="0">
          <wp:extent cx="1746885" cy="698500"/>
          <wp:effectExtent l="0" t="0" r="0" b="0"/>
          <wp:docPr id="2" name="gráfic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s1"/>
                  <pic:cNvPicPr>
                    <a:picLocks noChangeAspect="1" noChangeArrowheads="1"/>
                  </pic:cNvPicPr>
                </pic:nvPicPr>
                <pic:blipFill>
                  <a:blip r:embed="rId2"/>
                  <a:srcRect l="-302" t="-755" r="-302" b="-755"/>
                  <a:stretch>
                    <a:fillRect/>
                  </a:stretch>
                </pic:blipFill>
                <pic:spPr bwMode="auto">
                  <a:xfrm>
                    <a:off x="0" y="0"/>
                    <a:ext cx="1746885" cy="698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4B31"/>
    <w:multiLevelType w:val="multilevel"/>
    <w:tmpl w:val="94AC28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47B5EB3"/>
    <w:multiLevelType w:val="multilevel"/>
    <w:tmpl w:val="74544A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pPr>
    <w:rPr>
      <w:rFonts w:eastAsia="Lucida Sans Unicode" w:cs="Times New Roman"/>
      <w:kern w:val="2"/>
      <w:sz w:val="22"/>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rPr>
  </w:style>
  <w:style w:type="character" w:customStyle="1" w:styleId="WW8Num2z1">
    <w:name w:val="WW8Num2z1"/>
    <w:qFormat/>
    <w:rPr>
      <w:rFonts w:ascii="Courier New" w:hAnsi="Courier New" w:cs="Courier New"/>
    </w:rPr>
  </w:style>
  <w:style w:type="character" w:customStyle="1" w:styleId="WW8Num2z3">
    <w:name w:val="WW8Num2z3"/>
    <w:qFormat/>
    <w:rPr>
      <w:rFonts w:ascii="Symbol" w:hAnsi="Symbol" w:cs="Symbol"/>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TextodegloboCar">
    <w:name w:val="Texto de globo Car"/>
    <w:qFormat/>
    <w:rPr>
      <w:rFonts w:ascii="Segoe UI" w:eastAsia="Lucida Sans Unicode" w:hAnsi="Segoe UI" w:cs="Segoe UI"/>
      <w:kern w:val="2"/>
      <w:sz w:val="18"/>
      <w:szCs w:val="18"/>
    </w:rPr>
  </w:style>
  <w:style w:type="paragraph" w:styleId="Ttulo">
    <w:name w:val="Title"/>
    <w:basedOn w:val="Normal"/>
    <w:next w:val="Textoindependiente"/>
    <w:qFormat/>
    <w:pPr>
      <w:keepNext/>
      <w:spacing w:before="240" w:after="120"/>
    </w:pPr>
    <w:rPr>
      <w:rFonts w:eastAsia="MS Mincho;ＭＳ 明朝" w:cs="Tahoma"/>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pgrafe1">
    <w:name w:val="Epígrafe1"/>
    <w:basedOn w:val="Normal"/>
    <w:qFormat/>
    <w:pPr>
      <w:suppressLineNumbers/>
      <w:spacing w:before="120" w:after="120"/>
    </w:pPr>
    <w:rPr>
      <w:rFonts w:cs="Arial"/>
      <w:i/>
      <w:iCs/>
      <w:sz w:val="24"/>
    </w:rPr>
  </w:style>
  <w:style w:type="paragraph" w:customStyle="1" w:styleId="ndice">
    <w:name w:val="Índice"/>
    <w:basedOn w:val="Normal"/>
    <w:qFormat/>
    <w:pPr>
      <w:suppressLineNumbers/>
    </w:pPr>
    <w:rPr>
      <w:rFonts w:cs="Tahoma"/>
    </w:rPr>
  </w:style>
  <w:style w:type="paragraph" w:styleId="Epgrafe">
    <w:name w:val="caption"/>
    <w:basedOn w:val="Normal"/>
    <w:qFormat/>
    <w:pPr>
      <w:suppressLineNumbers/>
      <w:spacing w:before="120" w:after="120"/>
    </w:pPr>
    <w:rPr>
      <w:rFonts w:cs="Tahoma"/>
      <w:i/>
      <w:iCs/>
    </w:rPr>
  </w:style>
  <w:style w:type="paragraph" w:customStyle="1" w:styleId="Header1">
    <w:name w:val="Header1"/>
    <w:basedOn w:val="Normal"/>
    <w:qFormat/>
    <w:pPr>
      <w:suppressLineNumbers/>
      <w:tabs>
        <w:tab w:val="center" w:pos="4818"/>
        <w:tab w:val="right" w:pos="9637"/>
      </w:tabs>
    </w:pPr>
  </w:style>
  <w:style w:type="paragraph" w:customStyle="1" w:styleId="Footer1">
    <w:name w:val="Footer1"/>
    <w:basedOn w:val="Normal"/>
    <w:qFormat/>
    <w:pPr>
      <w:suppressLineNumbers/>
      <w:tabs>
        <w:tab w:val="center" w:pos="4818"/>
        <w:tab w:val="right" w:pos="9637"/>
      </w:tabs>
    </w:pPr>
  </w:style>
  <w:style w:type="paragraph" w:customStyle="1" w:styleId="Header2">
    <w:name w:val="Header2"/>
    <w:basedOn w:val="Normal"/>
    <w:qFormat/>
    <w:pPr>
      <w:suppressLineNumbers/>
      <w:tabs>
        <w:tab w:val="right" w:pos="9637"/>
      </w:tabs>
    </w:pPr>
  </w:style>
  <w:style w:type="paragraph" w:customStyle="1" w:styleId="Footer2">
    <w:name w:val="Footer2"/>
    <w:basedOn w:val="Normal"/>
    <w:qFormat/>
    <w:pPr>
      <w:suppressLineNumbers/>
      <w:tabs>
        <w:tab w:val="right" w:pos="9637"/>
      </w:tabs>
    </w:pPr>
  </w:style>
  <w:style w:type="paragraph" w:customStyle="1" w:styleId="Header3">
    <w:name w:val="Header3"/>
    <w:basedOn w:val="Normal"/>
    <w:qFormat/>
    <w:pPr>
      <w:suppressLineNumbers/>
      <w:tabs>
        <w:tab w:val="center" w:pos="4818"/>
        <w:tab w:val="right" w:pos="9637"/>
      </w:tabs>
    </w:pPr>
  </w:style>
  <w:style w:type="paragraph" w:customStyle="1" w:styleId="Header4">
    <w:name w:val="Header4"/>
    <w:basedOn w:val="Normal"/>
    <w:qFormat/>
    <w:pPr>
      <w:suppressLineNumbers/>
      <w:tabs>
        <w:tab w:val="center" w:pos="4818"/>
        <w:tab w:val="right" w:pos="9637"/>
      </w:tabs>
    </w:pPr>
  </w:style>
  <w:style w:type="paragraph" w:customStyle="1" w:styleId="Footer3">
    <w:name w:val="Footer3"/>
    <w:basedOn w:val="Normal"/>
    <w:qFormat/>
    <w:pPr>
      <w:suppressLineNumbers/>
      <w:tabs>
        <w:tab w:val="center" w:pos="4818"/>
        <w:tab w:val="right" w:pos="9637"/>
      </w:tabs>
    </w:p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Encabezado1">
    <w:name w:val="Encabezado1"/>
    <w:basedOn w:val="Normal"/>
    <w:pPr>
      <w:suppressLineNumbers/>
      <w:tabs>
        <w:tab w:val="center" w:pos="5386"/>
        <w:tab w:val="right" w:pos="10772"/>
      </w:tabs>
    </w:pPr>
  </w:style>
  <w:style w:type="paragraph" w:customStyle="1" w:styleId="Piedepgina1">
    <w:name w:val="Pie de página1"/>
    <w:basedOn w:val="Normal"/>
    <w:pPr>
      <w:suppressLineNumbers/>
      <w:tabs>
        <w:tab w:val="center" w:pos="5386"/>
        <w:tab w:val="right" w:pos="10772"/>
      </w:tabs>
    </w:pPr>
  </w:style>
  <w:style w:type="paragraph" w:styleId="Prrafodelista">
    <w:name w:val="List Paragraph"/>
    <w:basedOn w:val="Normal"/>
    <w:qFormat/>
    <w:pPr>
      <w:ind w:left="708"/>
    </w:pPr>
  </w:style>
  <w:style w:type="paragraph" w:styleId="Textodeglobo">
    <w:name w:val="Balloon Text"/>
    <w:basedOn w:val="Normal"/>
    <w:qFormat/>
    <w:rPr>
      <w:rFonts w:ascii="Segoe UI" w:hAnsi="Segoe UI" w:cs="Segoe UI"/>
      <w:sz w:val="18"/>
      <w:szCs w:val="18"/>
    </w:rPr>
  </w:style>
  <w:style w:type="paragraph" w:styleId="NormalWeb">
    <w:name w:val="Normal (Web)"/>
    <w:basedOn w:val="Normal"/>
    <w:qFormat/>
    <w:pPr>
      <w:spacing w:after="158"/>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pPr>
    <w:rPr>
      <w:rFonts w:eastAsia="Lucida Sans Unicode" w:cs="Times New Roman"/>
      <w:kern w:val="2"/>
      <w:sz w:val="22"/>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rPr>
  </w:style>
  <w:style w:type="character" w:customStyle="1" w:styleId="WW8Num2z1">
    <w:name w:val="WW8Num2z1"/>
    <w:qFormat/>
    <w:rPr>
      <w:rFonts w:ascii="Courier New" w:hAnsi="Courier New" w:cs="Courier New"/>
    </w:rPr>
  </w:style>
  <w:style w:type="character" w:customStyle="1" w:styleId="WW8Num2z3">
    <w:name w:val="WW8Num2z3"/>
    <w:qFormat/>
    <w:rPr>
      <w:rFonts w:ascii="Symbol" w:hAnsi="Symbol" w:cs="Symbol"/>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TextodegloboCar">
    <w:name w:val="Texto de globo Car"/>
    <w:qFormat/>
    <w:rPr>
      <w:rFonts w:ascii="Segoe UI" w:eastAsia="Lucida Sans Unicode" w:hAnsi="Segoe UI" w:cs="Segoe UI"/>
      <w:kern w:val="2"/>
      <w:sz w:val="18"/>
      <w:szCs w:val="18"/>
    </w:rPr>
  </w:style>
  <w:style w:type="paragraph" w:styleId="Ttulo">
    <w:name w:val="Title"/>
    <w:basedOn w:val="Normal"/>
    <w:next w:val="Textoindependiente"/>
    <w:qFormat/>
    <w:pPr>
      <w:keepNext/>
      <w:spacing w:before="240" w:after="120"/>
    </w:pPr>
    <w:rPr>
      <w:rFonts w:eastAsia="MS Mincho;ＭＳ 明朝" w:cs="Tahoma"/>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pgrafe1">
    <w:name w:val="Epígrafe1"/>
    <w:basedOn w:val="Normal"/>
    <w:qFormat/>
    <w:pPr>
      <w:suppressLineNumbers/>
      <w:spacing w:before="120" w:after="120"/>
    </w:pPr>
    <w:rPr>
      <w:rFonts w:cs="Arial"/>
      <w:i/>
      <w:iCs/>
      <w:sz w:val="24"/>
    </w:rPr>
  </w:style>
  <w:style w:type="paragraph" w:customStyle="1" w:styleId="ndice">
    <w:name w:val="Índice"/>
    <w:basedOn w:val="Normal"/>
    <w:qFormat/>
    <w:pPr>
      <w:suppressLineNumbers/>
    </w:pPr>
    <w:rPr>
      <w:rFonts w:cs="Tahoma"/>
    </w:rPr>
  </w:style>
  <w:style w:type="paragraph" w:styleId="Epgrafe">
    <w:name w:val="caption"/>
    <w:basedOn w:val="Normal"/>
    <w:qFormat/>
    <w:pPr>
      <w:suppressLineNumbers/>
      <w:spacing w:before="120" w:after="120"/>
    </w:pPr>
    <w:rPr>
      <w:rFonts w:cs="Tahoma"/>
      <w:i/>
      <w:iCs/>
    </w:rPr>
  </w:style>
  <w:style w:type="paragraph" w:customStyle="1" w:styleId="Header1">
    <w:name w:val="Header1"/>
    <w:basedOn w:val="Normal"/>
    <w:qFormat/>
    <w:pPr>
      <w:suppressLineNumbers/>
      <w:tabs>
        <w:tab w:val="center" w:pos="4818"/>
        <w:tab w:val="right" w:pos="9637"/>
      </w:tabs>
    </w:pPr>
  </w:style>
  <w:style w:type="paragraph" w:customStyle="1" w:styleId="Footer1">
    <w:name w:val="Footer1"/>
    <w:basedOn w:val="Normal"/>
    <w:qFormat/>
    <w:pPr>
      <w:suppressLineNumbers/>
      <w:tabs>
        <w:tab w:val="center" w:pos="4818"/>
        <w:tab w:val="right" w:pos="9637"/>
      </w:tabs>
    </w:pPr>
  </w:style>
  <w:style w:type="paragraph" w:customStyle="1" w:styleId="Header2">
    <w:name w:val="Header2"/>
    <w:basedOn w:val="Normal"/>
    <w:qFormat/>
    <w:pPr>
      <w:suppressLineNumbers/>
      <w:tabs>
        <w:tab w:val="right" w:pos="9637"/>
      </w:tabs>
    </w:pPr>
  </w:style>
  <w:style w:type="paragraph" w:customStyle="1" w:styleId="Footer2">
    <w:name w:val="Footer2"/>
    <w:basedOn w:val="Normal"/>
    <w:qFormat/>
    <w:pPr>
      <w:suppressLineNumbers/>
      <w:tabs>
        <w:tab w:val="right" w:pos="9637"/>
      </w:tabs>
    </w:pPr>
  </w:style>
  <w:style w:type="paragraph" w:customStyle="1" w:styleId="Header3">
    <w:name w:val="Header3"/>
    <w:basedOn w:val="Normal"/>
    <w:qFormat/>
    <w:pPr>
      <w:suppressLineNumbers/>
      <w:tabs>
        <w:tab w:val="center" w:pos="4818"/>
        <w:tab w:val="right" w:pos="9637"/>
      </w:tabs>
    </w:pPr>
  </w:style>
  <w:style w:type="paragraph" w:customStyle="1" w:styleId="Header4">
    <w:name w:val="Header4"/>
    <w:basedOn w:val="Normal"/>
    <w:qFormat/>
    <w:pPr>
      <w:suppressLineNumbers/>
      <w:tabs>
        <w:tab w:val="center" w:pos="4818"/>
        <w:tab w:val="right" w:pos="9637"/>
      </w:tabs>
    </w:pPr>
  </w:style>
  <w:style w:type="paragraph" w:customStyle="1" w:styleId="Footer3">
    <w:name w:val="Footer3"/>
    <w:basedOn w:val="Normal"/>
    <w:qFormat/>
    <w:pPr>
      <w:suppressLineNumbers/>
      <w:tabs>
        <w:tab w:val="center" w:pos="4818"/>
        <w:tab w:val="right" w:pos="9637"/>
      </w:tabs>
    </w:p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Encabezado1">
    <w:name w:val="Encabezado1"/>
    <w:basedOn w:val="Normal"/>
    <w:pPr>
      <w:suppressLineNumbers/>
      <w:tabs>
        <w:tab w:val="center" w:pos="5386"/>
        <w:tab w:val="right" w:pos="10772"/>
      </w:tabs>
    </w:pPr>
  </w:style>
  <w:style w:type="paragraph" w:customStyle="1" w:styleId="Piedepgina1">
    <w:name w:val="Pie de página1"/>
    <w:basedOn w:val="Normal"/>
    <w:pPr>
      <w:suppressLineNumbers/>
      <w:tabs>
        <w:tab w:val="center" w:pos="5386"/>
        <w:tab w:val="right" w:pos="10772"/>
      </w:tabs>
    </w:pPr>
  </w:style>
  <w:style w:type="paragraph" w:styleId="Prrafodelista">
    <w:name w:val="List Paragraph"/>
    <w:basedOn w:val="Normal"/>
    <w:qFormat/>
    <w:pPr>
      <w:ind w:left="708"/>
    </w:pPr>
  </w:style>
  <w:style w:type="paragraph" w:styleId="Textodeglobo">
    <w:name w:val="Balloon Text"/>
    <w:basedOn w:val="Normal"/>
    <w:qFormat/>
    <w:rPr>
      <w:rFonts w:ascii="Segoe UI" w:hAnsi="Segoe UI" w:cs="Segoe UI"/>
      <w:sz w:val="18"/>
      <w:szCs w:val="18"/>
    </w:rPr>
  </w:style>
  <w:style w:type="paragraph" w:styleId="NormalWeb">
    <w:name w:val="Normal (Web)"/>
    <w:basedOn w:val="Normal"/>
    <w:qFormat/>
    <w:pPr>
      <w:spacing w:after="158"/>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5049</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Maria Jose Medina Dubois</cp:lastModifiedBy>
  <cp:revision>2</cp:revision>
  <cp:lastPrinted>2019-04-30T12:26:00Z</cp:lastPrinted>
  <dcterms:created xsi:type="dcterms:W3CDTF">2021-05-05T10:33:00Z</dcterms:created>
  <dcterms:modified xsi:type="dcterms:W3CDTF">2021-05-05T10:33:00Z</dcterms:modified>
  <dc:language>es-ES</dc:language>
</cp:coreProperties>
</file>