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9"/>
        </w:rPr>
      </w:pPr>
    </w:p>
    <w:p>
      <w:pPr>
        <w:pStyle w:val="Heading1"/>
        <w:spacing w:line="252" w:lineRule="auto" w:before="103"/>
        <w:ind w:right="791"/>
        <w:jc w:val="both"/>
      </w:pPr>
      <w:r>
        <w:rPr/>
        <w:t>INFORME DE INTERVENCIÓN DE EVALUACIÓN DEL CUMPLIMIENTO DEL OBJETIVO DE  ESTABILIDAD PRESUPUESTARIA CON MOTIVO DE LA LIQUIDACION DEL PRESUPUESTO</w:t>
      </w:r>
      <w:r>
        <w:rPr>
          <w:spacing w:val="60"/>
        </w:rPr>
        <w:t> </w:t>
      </w:r>
      <w:r>
        <w:rPr/>
        <w:t>2020</w:t>
      </w:r>
    </w:p>
    <w:p>
      <w:pPr>
        <w:pStyle w:val="BodyText"/>
        <w:spacing w:before="8"/>
        <w:rPr>
          <w:b/>
          <w:sz w:val="16"/>
        </w:rPr>
      </w:pPr>
    </w:p>
    <w:p>
      <w:pPr>
        <w:pStyle w:val="BodyText"/>
        <w:spacing w:line="232" w:lineRule="auto"/>
        <w:ind w:left="1435" w:right="787" w:firstLine="648"/>
        <w:jc w:val="both"/>
      </w:pPr>
      <w:r>
        <w:rPr/>
        <w:t>Con motivo de la aprobación de la liquidación del presupuesto del ejercicio 2020, en cumplimiento de lo previsto en la Providencia de Alcaldía de fecha 9 de febrero, y de conformidad con el artículo 16.2 del Real Decreto 1463/2007, de 2  de noviembre, por el que se aprueba el Reglamento de Desarrollo de la Ley  18/2001, de 12 de diciembre, de Estabilidad Presupuestaria, en su Aplicación a  las Entidades Locales, emito el</w:t>
      </w:r>
      <w:r>
        <w:rPr>
          <w:spacing w:val="5"/>
        </w:rPr>
        <w:t> </w:t>
      </w:r>
      <w:r>
        <w:rPr/>
        <w:t>siguiente</w:t>
      </w:r>
    </w:p>
    <w:p>
      <w:pPr>
        <w:pStyle w:val="BodyText"/>
        <w:rPr>
          <w:sz w:val="20"/>
        </w:rPr>
      </w:pPr>
    </w:p>
    <w:p>
      <w:pPr>
        <w:pStyle w:val="Heading1"/>
        <w:spacing w:before="172"/>
        <w:ind w:left="5512"/>
      </w:pPr>
      <w:r>
        <w:rPr/>
        <w:t>INFORME</w:t>
      </w:r>
    </w:p>
    <w:p>
      <w:pPr>
        <w:pStyle w:val="BodyText"/>
        <w:rPr>
          <w:b/>
          <w:sz w:val="20"/>
        </w:rPr>
      </w:pPr>
    </w:p>
    <w:p>
      <w:pPr>
        <w:pStyle w:val="BodyText"/>
        <w:spacing w:before="2"/>
        <w:rPr>
          <w:b/>
          <w:sz w:val="16"/>
        </w:rPr>
      </w:pPr>
    </w:p>
    <w:p>
      <w:pPr>
        <w:pStyle w:val="BodyText"/>
        <w:spacing w:line="232" w:lineRule="auto"/>
        <w:ind w:left="1435" w:right="790" w:firstLine="648"/>
        <w:jc w:val="both"/>
      </w:pPr>
      <w:r>
        <w:rPr>
          <w:b/>
        </w:rPr>
        <w:t>PRIMERO.- </w:t>
      </w:r>
      <w:r>
        <w:rPr/>
        <w:t>La elaboración, aprobación y ejecución de los Presupuestos y  demás actuaciones que afecten a los gastos o ingresos de las Entidades Locales se someterá al principio de estabilidad presupuestaria, coherente con la normativa europea, de conformidad a lo previsto en los artículo 3, 11 y 12 de la Ley Orgánica 2/2012, de 27 de abril, de Estabilidad Presupuestaria y Sostenibilidad Financiera (en adelante</w:t>
      </w:r>
      <w:r>
        <w:rPr>
          <w:spacing w:val="1"/>
        </w:rPr>
        <w:t> </w:t>
      </w:r>
      <w:r>
        <w:rPr/>
        <w:t>LOEPSF).</w:t>
      </w:r>
    </w:p>
    <w:p>
      <w:pPr>
        <w:pStyle w:val="BodyText"/>
        <w:rPr>
          <w:sz w:val="20"/>
        </w:rPr>
      </w:pPr>
    </w:p>
    <w:p>
      <w:pPr>
        <w:pStyle w:val="BodyText"/>
        <w:spacing w:before="10"/>
        <w:rPr>
          <w:sz w:val="15"/>
        </w:rPr>
      </w:pPr>
    </w:p>
    <w:p>
      <w:pPr>
        <w:pStyle w:val="BodyText"/>
        <w:spacing w:line="232" w:lineRule="auto"/>
        <w:ind w:left="1435" w:right="789" w:firstLine="648"/>
        <w:jc w:val="both"/>
      </w:pPr>
      <w:r>
        <w:rPr>
          <w:b/>
        </w:rPr>
        <w:t>SEGUNDO.- </w:t>
      </w:r>
      <w:r>
        <w:rPr/>
        <w:t>Tal y como dispone el artículo 16 apartado 1 in fine y apartado 2 del Real Decreto 1463/2007, de 2 de noviembre, por el que se aprueba el  Reglamento de Desarrollo de la Ley 18/2001, de 12 de diciembre, de Estabilidad Presupuestaria, en su aplicación a las Entidades Locales, la Intervención Local elevará al Pleno un informe sobre el cumplimiento del objetivo de estabilidad de la propia Entidad Local y de sus organismos y entidades dependientes, así como de la regla de</w:t>
      </w:r>
      <w:r>
        <w:rPr>
          <w:spacing w:val="0"/>
        </w:rPr>
        <w:t> </w:t>
      </w:r>
      <w:r>
        <w:rPr/>
        <w:t>gasto.</w:t>
      </w:r>
    </w:p>
    <w:p>
      <w:pPr>
        <w:pStyle w:val="BodyText"/>
        <w:spacing w:before="4"/>
        <w:rPr>
          <w:sz w:val="17"/>
        </w:rPr>
      </w:pPr>
    </w:p>
    <w:p>
      <w:pPr>
        <w:pStyle w:val="BodyText"/>
        <w:spacing w:line="232" w:lineRule="auto"/>
        <w:ind w:left="1435" w:right="790" w:firstLine="648"/>
        <w:jc w:val="both"/>
      </w:pPr>
      <w:r>
        <w:rPr/>
        <w:t>Este informe se emitirá con carácter independiente y se incorporará a los previstos en el artículo 191.3 del Real Decreto Legislativo 2/2004, de 5 de  marzo, por el que se aprueba el texto refundido de la Ley Reguladora de las Haciendas Locales (en adelante TRLHL), referido a la liquidación del</w:t>
      </w:r>
      <w:r>
        <w:rPr>
          <w:spacing w:val="100"/>
        </w:rPr>
        <w:t> </w:t>
      </w:r>
      <w:r>
        <w:rPr/>
        <w:t>Presupuesto.</w:t>
      </w:r>
    </w:p>
    <w:p>
      <w:pPr>
        <w:pStyle w:val="BodyText"/>
        <w:spacing w:before="2"/>
        <w:rPr>
          <w:sz w:val="17"/>
        </w:rPr>
      </w:pPr>
    </w:p>
    <w:p>
      <w:pPr>
        <w:pStyle w:val="BodyText"/>
        <w:spacing w:line="232" w:lineRule="auto"/>
        <w:ind w:left="1435" w:right="784" w:firstLine="648"/>
        <w:jc w:val="both"/>
      </w:pPr>
      <w:r>
        <w:rPr/>
        <w:t>La Interventora de Fondos Municipal deberá detallar en su informe los cálculos efectuados y los ajustes practicados sobre la base de los datos de los capítulos de 1 a 9 de los estados de gastos e ingresos presupuestarios, en términos de Contabilidad Nacional, según el sistema Europeo de Cuentas Nacionales o Regionales.</w:t>
      </w:r>
    </w:p>
    <w:p>
      <w:pPr>
        <w:pStyle w:val="BodyText"/>
        <w:rPr>
          <w:sz w:val="20"/>
        </w:rPr>
      </w:pPr>
    </w:p>
    <w:p>
      <w:pPr>
        <w:pStyle w:val="BodyText"/>
        <w:spacing w:before="2"/>
        <w:rPr>
          <w:sz w:val="17"/>
        </w:rPr>
      </w:pPr>
    </w:p>
    <w:p>
      <w:pPr>
        <w:pStyle w:val="BodyText"/>
        <w:spacing w:line="232" w:lineRule="auto"/>
        <w:ind w:left="1435" w:right="786" w:firstLine="648"/>
        <w:jc w:val="both"/>
      </w:pPr>
      <w:r>
        <w:rPr>
          <w:b/>
        </w:rPr>
        <w:t>TERCERO.- </w:t>
      </w:r>
      <w:r>
        <w:rPr/>
        <w:t>Sin embargo, con el objetivo de dotar a las Entidades Locales de fuentes de recursos suficientes para hacer frente a la pandemia y siguiendo las recomendaciones de la Comisión Europea que aplicó la cláusula general de salvaguarda del Pacto de Estabilidad y Crecimiento en 2020 y que prorrogará en 2021, el Consejo de Ministros en fecha 6 de octubre de 2020 aprobó la suspensión de las tres reglas</w:t>
      </w:r>
      <w:r>
        <w:rPr>
          <w:spacing w:val="1"/>
        </w:rPr>
        <w:t> </w:t>
      </w:r>
      <w:r>
        <w:rPr/>
        <w:t>fiscales.</w:t>
      </w:r>
    </w:p>
    <w:p>
      <w:pPr>
        <w:pStyle w:val="BodyText"/>
        <w:spacing w:before="5"/>
        <w:rPr>
          <w:sz w:val="17"/>
        </w:rPr>
      </w:pPr>
    </w:p>
    <w:p>
      <w:pPr>
        <w:pStyle w:val="BodyText"/>
        <w:spacing w:line="232" w:lineRule="auto"/>
        <w:ind w:left="1435" w:right="790"/>
        <w:jc w:val="both"/>
      </w:pPr>
      <w:r>
        <w:rPr/>
        <w:t>Para ello, tal como dispone el artículo 135.4 de la Constitución Española y el artículo 11.3 de la Ley Orgánica 2/2012, de 27 de abril, de Estabilidad Presupuestaria</w:t>
      </w:r>
      <w:r>
        <w:rPr>
          <w:spacing w:val="67"/>
        </w:rPr>
        <w:t> </w:t>
      </w:r>
      <w:r>
        <w:rPr/>
        <w:t>y</w:t>
      </w:r>
      <w:r>
        <w:rPr>
          <w:spacing w:val="67"/>
        </w:rPr>
        <w:t> </w:t>
      </w:r>
      <w:r>
        <w:rPr/>
        <w:t>Sostenibilidad</w:t>
      </w:r>
      <w:r>
        <w:rPr>
          <w:spacing w:val="67"/>
        </w:rPr>
        <w:t> </w:t>
      </w:r>
      <w:r>
        <w:rPr/>
        <w:t>Financiera,</w:t>
      </w:r>
      <w:r>
        <w:rPr>
          <w:spacing w:val="67"/>
        </w:rPr>
        <w:t> </w:t>
      </w:r>
      <w:r>
        <w:rPr/>
        <w:t>solicitó</w:t>
      </w:r>
      <w:r>
        <w:rPr>
          <w:spacing w:val="61"/>
        </w:rPr>
        <w:t> </w:t>
      </w:r>
      <w:r>
        <w:rPr/>
        <w:t>en</w:t>
      </w:r>
      <w:r>
        <w:rPr>
          <w:spacing w:val="61"/>
        </w:rPr>
        <w:t> </w:t>
      </w:r>
      <w:r>
        <w:rPr/>
        <w:t>dicho</w:t>
      </w:r>
      <w:r>
        <w:rPr>
          <w:spacing w:val="61"/>
        </w:rPr>
        <w:t> </w:t>
      </w:r>
      <w:r>
        <w:rPr/>
        <w:t>acuerdo,</w:t>
      </w:r>
      <w:r>
        <w:rPr>
          <w:spacing w:val="61"/>
        </w:rPr>
        <w:t> </w:t>
      </w:r>
      <w:r>
        <w:rPr/>
        <w:t>que</w:t>
      </w:r>
      <w:r>
        <w:rPr>
          <w:spacing w:val="61"/>
        </w:rPr>
        <w:t> </w:t>
      </w:r>
      <w:r>
        <w:rPr/>
        <w:t>el</w:t>
      </w:r>
    </w:p>
    <w:p>
      <w:pPr>
        <w:pStyle w:val="BodyText"/>
        <w:spacing w:before="4"/>
        <w:rPr>
          <w:sz w:val="22"/>
        </w:rPr>
      </w:pPr>
    </w:p>
    <w:p>
      <w:pPr>
        <w:pStyle w:val="BodyText"/>
        <w:rPr>
          <w:sz w:val="11"/>
        </w:rPr>
      </w:pPr>
    </w:p>
    <w:p>
      <w:pPr>
        <w:spacing w:line="182" w:lineRule="auto" w:before="0"/>
        <w:ind w:left="4264" w:right="680" w:hanging="2261"/>
        <w:jc w:val="left"/>
        <w:rPr>
          <w:rFonts w:ascii="Tahoma" w:hAnsi="Tahoma"/>
          <w:sz w:val="10"/>
        </w:rPr>
      </w:pPr>
      <w:r>
        <w:rPr/>
        <w:pict>
          <v:shape style="position:absolute;margin-left:25.000002pt;margin-top:23.030766pt;width:60pt;height:7.55pt;mso-position-horizontal-relative:page;mso-position-vertical-relative:paragraph;z-index:-16816" coordorigin="500,461" coordsize="1200,151" path="m1700,461l500,461,500,592,500,612,1700,612,1700,592,1700,461e" filled="true" fillcolor="#efefef" stroked="false">
            <v:path arrowok="t"/>
            <v:fill type="solid"/>
            <w10:wrap type="none"/>
          </v:shape>
        </w:pict>
      </w:r>
      <w:r>
        <w:rPr/>
        <w:pict>
          <v:line style="position:absolute;mso-position-horizontal-relative:page;mso-position-vertical-relative:paragraph;z-index:-16792" from="256.950012pt,28.580767pt" to="281.290012pt,28.580767pt" stroked="true" strokeweight=".4pt" strokecolor="#0000ff">
            <v:stroke dashstyle="solid"/>
            <w10:wrap type="none"/>
          </v:line>
        </w:pict>
      </w:r>
      <w:r>
        <w:rPr/>
        <w:pict>
          <v:line style="position:absolute;mso-position-horizontal-relative:page;mso-position-vertical-relative:paragraph;z-index:-16768" from="167.410004pt,66.930771pt" to="190.750004pt,66.930771pt" stroked="true" strokeweight=".4pt" strokecolor="#0000ff">
            <v:stroke dashstyle="solid"/>
            <w10:wrap type="none"/>
          </v:line>
        </w:pict>
      </w:r>
      <w:r>
        <w:rPr>
          <w:rFonts w:ascii="Tahoma" w:hAnsi="Tahoma"/>
          <w:color w:val="585858"/>
          <w:sz w:val="10"/>
        </w:rPr>
        <w:t>cmo. Ayuntamiento de Los Llanos de Aridane – CIF: P3802400F • Plaza de España S/N. C.P. 38760. Los Llanos de Aridane. La Palma • Tfno.: 922 460 111 • Fax.: 922 461 264 </w:t>
      </w:r>
      <w:hyperlink r:id="rId6">
        <w:r>
          <w:rPr>
            <w:rFonts w:ascii="Tahoma" w:hAnsi="Tahoma"/>
            <w:color w:val="0000FF"/>
            <w:sz w:val="10"/>
            <w:u w:val="single" w:color="0000FF"/>
          </w:rPr>
          <w:t>www.aridane.org</w:t>
        </w:r>
        <w:r>
          <w:rPr>
            <w:rFonts w:ascii="Tahoma" w:hAnsi="Tahoma"/>
            <w:color w:val="0000FF"/>
            <w:sz w:val="10"/>
          </w:rPr>
          <w:t> </w:t>
        </w:r>
      </w:hyperlink>
      <w:r>
        <w:rPr>
          <w:rFonts w:ascii="Tahoma" w:hAnsi="Tahoma"/>
          <w:color w:val="585858"/>
          <w:sz w:val="10"/>
        </w:rPr>
        <w:t>• </w:t>
      </w:r>
      <w:r>
        <w:rPr>
          <w:rFonts w:ascii="Tahoma" w:hAnsi="Tahoma"/>
          <w:color w:val="0000FF"/>
          <w:sz w:val="10"/>
          <w:u w:val="single" w:color="0000FF"/>
        </w:rPr>
        <w:t>eadmin.aridane.org</w:t>
      </w:r>
      <w:r>
        <w:rPr>
          <w:rFonts w:ascii="Tahoma" w:hAnsi="Tahoma"/>
          <w:color w:val="0000FF"/>
          <w:sz w:val="10"/>
        </w:rPr>
        <w:t> </w:t>
      </w:r>
      <w:r>
        <w:rPr>
          <w:rFonts w:ascii="Tahoma" w:hAnsi="Tahoma"/>
          <w:color w:val="585858"/>
          <w:sz w:val="10"/>
        </w:rPr>
        <w:t>• e-mail: </w:t>
      </w:r>
      <w:hyperlink r:id="rId7">
        <w:r>
          <w:rPr>
            <w:rFonts w:ascii="Tahoma" w:hAnsi="Tahoma"/>
            <w:color w:val="585858"/>
            <w:sz w:val="10"/>
          </w:rPr>
          <w:t>informacion@aridane.org</w:t>
        </w:r>
      </w:hyperlink>
    </w:p>
    <w:p>
      <w:pPr>
        <w:pStyle w:val="BodyText"/>
        <w:spacing w:before="7"/>
        <w:rPr>
          <w:rFonts w:ascii="Tahoma"/>
          <w:sz w:val="17"/>
        </w:rPr>
      </w:pPr>
    </w:p>
    <w:tbl>
      <w:tblPr>
        <w:tblW w:w="0" w:type="auto"/>
        <w:jc w:val="left"/>
        <w:tblInd w:w="120" w:type="dxa"/>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Layout w:type="fixed"/>
        <w:tblCellMar>
          <w:top w:w="0" w:type="dxa"/>
          <w:left w:w="0" w:type="dxa"/>
          <w:bottom w:w="0" w:type="dxa"/>
          <w:right w:w="0" w:type="dxa"/>
        </w:tblCellMar>
        <w:tblLook w:val="01E0"/>
      </w:tblPr>
      <w:tblGrid>
        <w:gridCol w:w="1200"/>
        <w:gridCol w:w="6304"/>
        <w:gridCol w:w="1800"/>
        <w:gridCol w:w="1600"/>
      </w:tblGrid>
      <w:tr>
        <w:trPr>
          <w:trHeight w:val="200" w:hRule="atLeast"/>
        </w:trPr>
        <w:tc>
          <w:tcPr>
            <w:tcW w:w="1200" w:type="dxa"/>
            <w:tcBorders>
              <w:left w:val="single" w:sz="4" w:space="0" w:color="000000"/>
              <w:bottom w:val="single" w:sz="4" w:space="0" w:color="000000"/>
              <w:right w:val="single" w:sz="6" w:space="0" w:color="000000"/>
            </w:tcBorders>
          </w:tcPr>
          <w:p>
            <w:pPr>
              <w:pStyle w:val="TableParagraph"/>
              <w:spacing w:line="240" w:lineRule="auto" w:before="28"/>
              <w:ind w:left="230"/>
              <w:rPr>
                <w:rFonts w:ascii="Arial"/>
                <w:b/>
                <w:sz w:val="12"/>
              </w:rPr>
            </w:pPr>
            <w:r>
              <w:rPr>
                <w:rFonts w:ascii="Arial"/>
                <w:b/>
                <w:sz w:val="12"/>
              </w:rPr>
              <w:t>Firmado por:</w:t>
            </w:r>
          </w:p>
        </w:tc>
        <w:tc>
          <w:tcPr>
            <w:tcW w:w="6304" w:type="dxa"/>
            <w:tcBorders>
              <w:top w:val="single" w:sz="4" w:space="0" w:color="000000"/>
              <w:left w:val="single" w:sz="6" w:space="0" w:color="000000"/>
              <w:bottom w:val="single" w:sz="4" w:space="0" w:color="000000"/>
              <w:right w:val="single" w:sz="6" w:space="0" w:color="000000"/>
            </w:tcBorders>
          </w:tcPr>
          <w:p>
            <w:pPr>
              <w:pStyle w:val="TableParagraph"/>
              <w:spacing w:line="240" w:lineRule="auto"/>
              <w:ind w:left="62"/>
              <w:rPr>
                <w:rFonts w:ascii="Arial" w:hAnsi="Arial"/>
                <w:sz w:val="12"/>
              </w:rPr>
            </w:pPr>
            <w:r>
              <w:rPr>
                <w:rFonts w:ascii="Arial" w:hAnsi="Arial"/>
                <w:sz w:val="12"/>
              </w:rPr>
              <w:t>MARÍA MONTSERRAT ALEJANDRE SISCART - Interventora </w:t>
            </w:r>
            <w:r>
              <w:rPr>
                <w:rFonts w:ascii="Arial" w:hAnsi="Arial"/>
                <w:color w:val="0000FF"/>
                <w:position w:val="2"/>
                <w:sz w:val="12"/>
              </w:rPr>
              <w:t>Ver firma</w:t>
            </w:r>
          </w:p>
        </w:tc>
        <w:tc>
          <w:tcPr>
            <w:tcW w:w="1800" w:type="dxa"/>
            <w:tcBorders>
              <w:top w:val="single" w:sz="4" w:space="0" w:color="000000"/>
              <w:left w:val="single" w:sz="6" w:space="0" w:color="000000"/>
              <w:bottom w:val="single" w:sz="4" w:space="0" w:color="000000"/>
              <w:right w:val="single" w:sz="6" w:space="0" w:color="000000"/>
            </w:tcBorders>
          </w:tcPr>
          <w:p>
            <w:pPr>
              <w:pStyle w:val="TableParagraph"/>
              <w:spacing w:line="240" w:lineRule="auto" w:before="28"/>
              <w:ind w:left="62"/>
              <w:rPr>
                <w:rFonts w:ascii="Arial"/>
                <w:sz w:val="12"/>
              </w:rPr>
            </w:pPr>
            <w:r>
              <w:rPr>
                <w:rFonts w:ascii="Arial"/>
                <w:sz w:val="12"/>
              </w:rPr>
              <w:t>Fecha: 11-02-2021 13:29:43</w:t>
            </w:r>
          </w:p>
        </w:tc>
        <w:tc>
          <w:tcPr>
            <w:tcW w:w="1600" w:type="dxa"/>
            <w:vMerge w:val="restart"/>
            <w:tcBorders>
              <w:top w:val="single" w:sz="4" w:space="0" w:color="000000"/>
              <w:left w:val="single" w:sz="6" w:space="0" w:color="000000"/>
              <w:bottom w:val="single" w:sz="4" w:space="0" w:color="000000"/>
              <w:right w:val="single" w:sz="4" w:space="0" w:color="000000"/>
            </w:tcBorders>
          </w:tcPr>
          <w:p>
            <w:pPr>
              <w:pStyle w:val="TableParagraph"/>
              <w:spacing w:line="240" w:lineRule="auto"/>
              <w:rPr>
                <w:rFonts w:ascii="Tahoma"/>
                <w:sz w:val="3"/>
              </w:rPr>
            </w:pPr>
          </w:p>
          <w:p>
            <w:pPr>
              <w:pStyle w:val="TableParagraph"/>
              <w:spacing w:line="240" w:lineRule="auto" w:before="0"/>
              <w:ind w:left="347"/>
              <w:rPr>
                <w:rFonts w:ascii="Tahoma"/>
                <w:sz w:val="20"/>
              </w:rPr>
            </w:pPr>
            <w:r>
              <w:rPr>
                <w:rFonts w:ascii="Tahoma"/>
                <w:sz w:val="20"/>
              </w:rPr>
              <w:drawing>
                <wp:inline distT="0" distB="0" distL="0" distR="0">
                  <wp:extent cx="600075" cy="60007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600075" cy="600075"/>
                          </a:xfrm>
                          <a:prstGeom prst="rect">
                            <a:avLst/>
                          </a:prstGeom>
                        </pic:spPr>
                      </pic:pic>
                    </a:graphicData>
                  </a:graphic>
                </wp:inline>
              </w:drawing>
            </w:r>
            <w:r>
              <w:rPr>
                <w:rFonts w:ascii="Tahoma"/>
                <w:sz w:val="20"/>
              </w:rPr>
            </w:r>
          </w:p>
        </w:tc>
      </w:tr>
      <w:tr>
        <w:trPr>
          <w:trHeight w:val="510" w:hRule="atLeast"/>
        </w:trPr>
        <w:tc>
          <w:tcPr>
            <w:tcW w:w="9304" w:type="dxa"/>
            <w:gridSpan w:val="3"/>
            <w:tcBorders>
              <w:top w:val="single" w:sz="4" w:space="0" w:color="000000"/>
              <w:left w:val="single" w:sz="4" w:space="0" w:color="000000"/>
              <w:bottom w:val="single" w:sz="4" w:space="0" w:color="000000"/>
              <w:right w:val="single" w:sz="4" w:space="0" w:color="000000"/>
            </w:tcBorders>
          </w:tcPr>
          <w:p>
            <w:pPr>
              <w:pStyle w:val="TableParagraph"/>
              <w:spacing w:line="348" w:lineRule="auto" w:before="82"/>
              <w:ind w:left="1643" w:right="565" w:hanging="409"/>
              <w:rPr>
                <w:rFonts w:ascii="Arial" w:hAnsi="Arial"/>
                <w:sz w:val="12"/>
              </w:rPr>
            </w:pPr>
            <w:r>
              <w:rPr>
                <w:rFonts w:ascii="Arial" w:hAnsi="Arial"/>
                <w:sz w:val="12"/>
              </w:rPr>
              <w:t>Nº expediente administrativo: 2021-000281 Código Seguro de Verificación (CSV): DBB0CD67AA1281BC15E003B5960DC72F Comprobación CSV: https://eadmin.aridane.org//publico/documento/DBB0CD67AA1281BC15E003B5960DC72F</w:t>
            </w:r>
          </w:p>
        </w:tc>
        <w:tc>
          <w:tcPr>
            <w:tcW w:w="1600" w:type="dxa"/>
            <w:vMerge/>
            <w:tcBorders>
              <w:top w:val="nil"/>
              <w:left w:val="single" w:sz="6" w:space="0" w:color="000000"/>
              <w:bottom w:val="single" w:sz="4" w:space="0" w:color="000000"/>
              <w:right w:val="single" w:sz="4" w:space="0" w:color="000000"/>
            </w:tcBorders>
          </w:tcPr>
          <w:p>
            <w:pPr>
              <w:rPr>
                <w:sz w:val="2"/>
                <w:szCs w:val="2"/>
              </w:rPr>
            </w:pPr>
          </w:p>
        </w:tc>
      </w:tr>
      <w:tr>
        <w:trPr>
          <w:trHeight w:val="259" w:hRule="atLeast"/>
        </w:trPr>
        <w:tc>
          <w:tcPr>
            <w:tcW w:w="9304" w:type="dxa"/>
            <w:gridSpan w:val="3"/>
            <w:tcBorders>
              <w:top w:val="single" w:sz="4" w:space="0" w:color="000000"/>
              <w:left w:val="single" w:sz="4" w:space="0" w:color="000000"/>
              <w:bottom w:val="single" w:sz="4" w:space="0" w:color="000000"/>
              <w:right w:val="single" w:sz="4" w:space="0" w:color="000000"/>
            </w:tcBorders>
          </w:tcPr>
          <w:p>
            <w:pPr>
              <w:pStyle w:val="TableParagraph"/>
              <w:tabs>
                <w:tab w:pos="5079" w:val="left" w:leader="none"/>
                <w:tab w:pos="6368" w:val="left" w:leader="none"/>
              </w:tabs>
              <w:spacing w:line="240" w:lineRule="auto" w:before="51"/>
              <w:ind w:left="59"/>
              <w:rPr>
                <w:rFonts w:ascii="Arial" w:hAnsi="Arial"/>
                <w:sz w:val="12"/>
              </w:rPr>
            </w:pPr>
            <w:r>
              <w:rPr>
                <w:rFonts w:ascii="Arial" w:hAnsi="Arial"/>
                <w:position w:val="1"/>
                <w:sz w:val="12"/>
              </w:rPr>
              <w:t>Fecha de sellado electrónico: 17-02-2021 12:47:07 </w:t>
            </w:r>
            <w:r>
              <w:rPr>
                <w:rFonts w:ascii="Arial" w:hAnsi="Arial"/>
                <w:spacing w:val="10"/>
                <w:position w:val="1"/>
                <w:sz w:val="12"/>
              </w:rPr>
              <w:t> </w:t>
            </w:r>
            <w:r>
              <w:rPr>
                <w:rFonts w:ascii="Arial" w:hAnsi="Arial"/>
                <w:color w:val="0000FF"/>
                <w:position w:val="2"/>
                <w:sz w:val="12"/>
              </w:rPr>
              <w:t>Ver sello</w:t>
              <w:tab/>
            </w:r>
            <w:r>
              <w:rPr>
                <w:rFonts w:ascii="Arial" w:hAnsi="Arial"/>
                <w:color w:val="404040"/>
                <w:sz w:val="12"/>
              </w:rPr>
              <w:t>- 1/5 -</w:t>
              <w:tab/>
            </w:r>
            <w:r>
              <w:rPr>
                <w:rFonts w:ascii="Arial" w:hAnsi="Arial"/>
                <w:position w:val="1"/>
                <w:sz w:val="12"/>
              </w:rPr>
              <w:t>Fecha de emisión de esta copia: 04-05-2021 14:09:54</w:t>
            </w:r>
          </w:p>
        </w:tc>
        <w:tc>
          <w:tcPr>
            <w:tcW w:w="1600" w:type="dxa"/>
            <w:vMerge/>
            <w:tcBorders>
              <w:top w:val="nil"/>
              <w:left w:val="single" w:sz="6" w:space="0" w:color="000000"/>
              <w:bottom w:val="single" w:sz="4" w:space="0" w:color="000000"/>
              <w:right w:val="single" w:sz="4" w:space="0" w:color="000000"/>
            </w:tcBorders>
          </w:tcPr>
          <w:p>
            <w:pPr>
              <w:rPr>
                <w:sz w:val="2"/>
                <w:szCs w:val="2"/>
              </w:rPr>
            </w:pPr>
          </w:p>
        </w:tc>
      </w:tr>
    </w:tbl>
    <w:p>
      <w:pPr>
        <w:spacing w:after="0"/>
        <w:rPr>
          <w:sz w:val="2"/>
          <w:szCs w:val="2"/>
        </w:rPr>
        <w:sectPr>
          <w:headerReference w:type="default" r:id="rId5"/>
          <w:type w:val="continuous"/>
          <w:pgSz w:w="11910" w:h="16840"/>
          <w:pgMar w:header="390" w:top="2220" w:bottom="280" w:left="380" w:right="380"/>
        </w:sectPr>
      </w:pPr>
    </w:p>
    <w:p>
      <w:pPr>
        <w:pStyle w:val="BodyText"/>
        <w:spacing w:before="4"/>
        <w:rPr>
          <w:rFonts w:ascii="Tahoma"/>
          <w:sz w:val="24"/>
        </w:rPr>
      </w:pPr>
      <w:r>
        <w:rPr/>
        <w:pict>
          <v:shape style="position:absolute;margin-left:25.000002pt;margin-top:774.919983pt;width:60pt;height:7.55pt;mso-position-horizontal-relative:page;mso-position-vertical-relative:page;z-index:-16720" coordorigin="500,15498" coordsize="1200,151" path="m1700,15498l500,15498,500,15629,500,15649,1700,15649,1700,15629,1700,15498e" filled="true" fillcolor="#f0f0f0" stroked="false">
            <v:path arrowok="t"/>
            <v:fill type="solid"/>
            <w10:wrap type="none"/>
          </v:shape>
        </w:pict>
      </w:r>
    </w:p>
    <w:p>
      <w:pPr>
        <w:pStyle w:val="BodyText"/>
        <w:spacing w:line="232" w:lineRule="auto" w:before="107"/>
        <w:ind w:left="1435" w:right="791"/>
        <w:jc w:val="both"/>
      </w:pPr>
      <w:r>
        <w:rPr/>
        <w:t>Congreso apreciara por mayoría absoluta, si España se encuentra en situación de emergencia que permita adoptar esta medida excepcional.</w:t>
      </w:r>
    </w:p>
    <w:p>
      <w:pPr>
        <w:pStyle w:val="BodyText"/>
        <w:spacing w:before="3"/>
        <w:rPr>
          <w:sz w:val="17"/>
        </w:rPr>
      </w:pPr>
    </w:p>
    <w:p>
      <w:pPr>
        <w:pStyle w:val="BodyText"/>
        <w:spacing w:line="232" w:lineRule="auto"/>
        <w:ind w:left="1435" w:right="784"/>
        <w:jc w:val="both"/>
      </w:pPr>
      <w:r>
        <w:rPr/>
        <w:t>El pasado 20 de octubre de 2020, el Pleno del Congreso de los Diputados aprobó  por mayoría absoluta el acuerdo del Consejo de Ministros de 6 de octubre de 2020 por el que se solicita del Congreso de los Diputados la apreciación de que España está sufriendo una pandemia, lo que supone una situación de emergencia extraordinaria, con el fin de aplicar la previsión constitucional que permite </w:t>
      </w:r>
      <w:r>
        <w:rPr>
          <w:spacing w:val="1"/>
        </w:rPr>
        <w:t>en</w:t>
      </w:r>
      <w:r>
        <w:rPr>
          <w:spacing w:val="111"/>
        </w:rPr>
        <w:t> </w:t>
      </w:r>
      <w:r>
        <w:rPr/>
        <w:t>estos casos superar límites de déficit estructural y de volumen de deuda</w:t>
      </w:r>
      <w:r>
        <w:rPr>
          <w:spacing w:val="97"/>
        </w:rPr>
        <w:t> </w:t>
      </w:r>
      <w:r>
        <w:rPr/>
        <w:t>pública.</w:t>
      </w:r>
    </w:p>
    <w:p>
      <w:pPr>
        <w:pStyle w:val="BodyText"/>
        <w:rPr>
          <w:sz w:val="17"/>
        </w:rPr>
      </w:pPr>
    </w:p>
    <w:p>
      <w:pPr>
        <w:pStyle w:val="BodyText"/>
        <w:spacing w:line="232" w:lineRule="auto" w:before="1"/>
        <w:ind w:left="1435" w:right="790"/>
        <w:jc w:val="both"/>
      </w:pPr>
      <w:r>
        <w:rPr/>
        <w:t>Con la apreciación adoptada por la mayoría absoluta del Congreso y con  efectividad desde el mismo día en que se tomó el acuerdo, quedan suspendidos durante el ejercicio 2020 y 2021 los objetivos de estabilidad y deuda, así como  la regla de gasto. De este modo, España deja en suspenso el camino de consolidación fiscal aprobada antes de la crisis sanitaria de la</w:t>
      </w:r>
      <w:r>
        <w:rPr>
          <w:spacing w:val="55"/>
        </w:rPr>
        <w:t> </w:t>
      </w:r>
      <w:r>
        <w:rPr/>
        <w:t>Covid-19.</w:t>
      </w:r>
    </w:p>
    <w:p>
      <w:pPr>
        <w:pStyle w:val="BodyText"/>
        <w:rPr>
          <w:sz w:val="17"/>
        </w:rPr>
      </w:pPr>
    </w:p>
    <w:p>
      <w:pPr>
        <w:pStyle w:val="BodyText"/>
        <w:spacing w:line="232" w:lineRule="auto" w:before="1"/>
        <w:ind w:left="1435" w:right="786"/>
        <w:jc w:val="both"/>
      </w:pPr>
      <w:r>
        <w:rPr/>
        <w:t>En cualquier caso, la suspensión de las reglas fiscales no implica la suspensión de la aplicación de la Ley Orgánica 2/2012, de 27 de abril, de Estabilidad Presupuestaria y Sostenibilidad Financiera, del Texto Refundido de la Ley Reguladora de las Haciendas Locales, aprobado por el Real Decreto Legislativo 2/2004, de 5 de marzo ni del resto de la normativa hacendística, todas continúan en vigor.</w:t>
      </w:r>
    </w:p>
    <w:p>
      <w:pPr>
        <w:pStyle w:val="BodyText"/>
        <w:rPr>
          <w:sz w:val="17"/>
        </w:rPr>
      </w:pPr>
    </w:p>
    <w:p>
      <w:pPr>
        <w:pStyle w:val="BodyText"/>
        <w:spacing w:line="232" w:lineRule="auto"/>
        <w:ind w:left="1435" w:right="791"/>
        <w:jc w:val="both"/>
      </w:pPr>
      <w:r>
        <w:rPr/>
        <w:t>Igualmente, no supone la desaparición de la responsabilidad fiscal, puesto que el Gobierno ha fijado una tasa de déficit de referencia para las Corporaciones Locales en el ejercicio 2021 del 0,1% del PIB que servirá de guía para la actividad municipal.</w:t>
      </w:r>
    </w:p>
    <w:p>
      <w:pPr>
        <w:pStyle w:val="BodyText"/>
        <w:spacing w:before="1"/>
        <w:rPr>
          <w:sz w:val="17"/>
        </w:rPr>
      </w:pPr>
    </w:p>
    <w:p>
      <w:pPr>
        <w:pStyle w:val="BodyText"/>
        <w:spacing w:line="232" w:lineRule="auto" w:before="1"/>
        <w:ind w:left="1435" w:right="790"/>
        <w:jc w:val="both"/>
      </w:pPr>
      <w:r>
        <w:rPr/>
        <w:t>Así, la suspensión de las reglas fiscales, no supone que desaparezca la responsabilidad fiscal de cada una de las administraciones públicas a la que se refiere el artículo 8 de la referida Ley Orgánica 2/2012, como tampoco el principio de prudencia a la hora de ejecutar sus</w:t>
      </w:r>
      <w:r>
        <w:rPr>
          <w:spacing w:val="23"/>
        </w:rPr>
        <w:t> </w:t>
      </w:r>
      <w:r>
        <w:rPr/>
        <w:t>presupuestos.</w:t>
      </w:r>
    </w:p>
    <w:p>
      <w:pPr>
        <w:pStyle w:val="BodyText"/>
        <w:rPr>
          <w:sz w:val="20"/>
        </w:rPr>
      </w:pPr>
    </w:p>
    <w:p>
      <w:pPr>
        <w:pStyle w:val="BodyText"/>
        <w:rPr>
          <w:sz w:val="20"/>
        </w:rPr>
      </w:pPr>
    </w:p>
    <w:p>
      <w:pPr>
        <w:pStyle w:val="Heading1"/>
        <w:spacing w:before="179"/>
        <w:ind w:left="2083"/>
      </w:pPr>
      <w:r>
        <w:rPr>
          <w:u w:val="single"/>
        </w:rPr>
        <w:t>CUARTO.- ESTABILIDAD PRESUPUESTARIA</w:t>
      </w:r>
    </w:p>
    <w:p>
      <w:pPr>
        <w:pStyle w:val="BodyText"/>
        <w:spacing w:before="6"/>
        <w:rPr>
          <w:b/>
          <w:sz w:val="17"/>
        </w:rPr>
      </w:pPr>
    </w:p>
    <w:p>
      <w:pPr>
        <w:pStyle w:val="BodyText"/>
        <w:spacing w:line="232" w:lineRule="auto"/>
        <w:ind w:left="1435" w:right="789"/>
        <w:jc w:val="both"/>
      </w:pPr>
      <w:r>
        <w:rPr/>
        <w:t>El equilibrio presupuestario se desprende, a grandes rasgos, de la comparación de los capítulos 1 a 7 del presupuesto de gastos y los capítulos 1 a 7 de ingresos. El objetivo de estabilidad presupuestaria, se identifica con una situación de equilibrio o superávit computada, a lo largo del ciclo económico, en términos de capacidad de financiación de acuerdo con la definición contenida en el Sistema Europeo de Cuentas Nacionales y Regionales</w:t>
      </w:r>
      <w:r>
        <w:rPr>
          <w:spacing w:val="10"/>
        </w:rPr>
        <w:t> </w:t>
      </w:r>
      <w:r>
        <w:rPr/>
        <w:t>(SEC-10).</w:t>
      </w:r>
    </w:p>
    <w:p>
      <w:pPr>
        <w:pStyle w:val="BodyText"/>
        <w:rPr>
          <w:sz w:val="17"/>
        </w:rPr>
      </w:pPr>
    </w:p>
    <w:p>
      <w:pPr>
        <w:pStyle w:val="BodyText"/>
        <w:spacing w:line="232" w:lineRule="auto"/>
        <w:ind w:left="1435" w:right="784"/>
        <w:jc w:val="both"/>
      </w:pPr>
      <w:r>
        <w:rPr/>
        <w:t>El incumplimiento del principio de estabilidad conllevará la elaboración de un Plan</w:t>
      </w:r>
      <w:r>
        <w:rPr>
          <w:spacing w:val="35"/>
        </w:rPr>
        <w:t> </w:t>
      </w:r>
      <w:r>
        <w:rPr/>
        <w:t>Económico-Financiero</w:t>
      </w:r>
      <w:r>
        <w:rPr>
          <w:spacing w:val="35"/>
        </w:rPr>
        <w:t> </w:t>
      </w:r>
      <w:r>
        <w:rPr/>
        <w:t>de</w:t>
      </w:r>
      <w:r>
        <w:rPr>
          <w:spacing w:val="35"/>
        </w:rPr>
        <w:t> </w:t>
      </w:r>
      <w:r>
        <w:rPr/>
        <w:t>conformidad</w:t>
      </w:r>
      <w:r>
        <w:rPr>
          <w:spacing w:val="35"/>
        </w:rPr>
        <w:t> </w:t>
      </w:r>
      <w:r>
        <w:rPr/>
        <w:t>con</w:t>
      </w:r>
      <w:r>
        <w:rPr>
          <w:spacing w:val="35"/>
        </w:rPr>
        <w:t> </w:t>
      </w:r>
      <w:r>
        <w:rPr/>
        <w:t>lo</w:t>
      </w:r>
      <w:r>
        <w:rPr>
          <w:spacing w:val="35"/>
        </w:rPr>
        <w:t> </w:t>
      </w:r>
      <w:r>
        <w:rPr/>
        <w:t>dispuesto</w:t>
      </w:r>
      <w:r>
        <w:rPr>
          <w:spacing w:val="35"/>
        </w:rPr>
        <w:t> </w:t>
      </w:r>
      <w:r>
        <w:rPr/>
        <w:t>en</w:t>
      </w:r>
      <w:r>
        <w:rPr>
          <w:spacing w:val="30"/>
        </w:rPr>
        <w:t> </w:t>
      </w:r>
      <w:r>
        <w:rPr/>
        <w:t>los</w:t>
      </w:r>
      <w:r>
        <w:rPr>
          <w:spacing w:val="30"/>
        </w:rPr>
        <w:t> </w:t>
      </w:r>
      <w:r>
        <w:rPr/>
        <w:t>artículos</w:t>
      </w:r>
      <w:r>
        <w:rPr>
          <w:spacing w:val="30"/>
        </w:rPr>
        <w:t> </w:t>
      </w:r>
      <w:r>
        <w:rPr/>
        <w:t>21</w:t>
      </w:r>
      <w:r>
        <w:rPr>
          <w:spacing w:val="30"/>
        </w:rPr>
        <w:t> </w:t>
      </w:r>
      <w:r>
        <w:rPr/>
        <w:t>y</w:t>
      </w:r>
    </w:p>
    <w:p>
      <w:pPr>
        <w:pStyle w:val="BodyText"/>
        <w:spacing w:line="232" w:lineRule="auto"/>
        <w:ind w:left="1435" w:right="791"/>
        <w:jc w:val="both"/>
      </w:pPr>
      <w:r>
        <w:rPr/>
        <w:t>23 de la LOEPSF. El incumplimiento de esta obligación por parte de la Entidad Local será constitutiva de infracción muy grave según el artículo 28.j) de la Ley 19/2013, de 9 de diciembre, de transparencia, acceso a la información pública y buen gobierno.</w:t>
      </w:r>
    </w:p>
    <w:p>
      <w:pPr>
        <w:pStyle w:val="BodyText"/>
        <w:rPr>
          <w:sz w:val="17"/>
        </w:rPr>
      </w:pPr>
    </w:p>
    <w:p>
      <w:pPr>
        <w:pStyle w:val="BodyText"/>
        <w:spacing w:line="232" w:lineRule="auto"/>
        <w:ind w:left="1435" w:right="790"/>
        <w:jc w:val="both"/>
      </w:pPr>
      <w:r>
        <w:rPr/>
        <w:t>Con carácter general, la totalidad de los ingresos y gastos no financieros presupuestarios, sin perjuicio de su reclasificación en términos de partidas contabilidad nacional, corresponden a la totalidad de los empleos y recursos que se computan en la obtención de la capacidad/necesidad de financiación</w:t>
      </w:r>
      <w:r>
        <w:rPr>
          <w:spacing w:val="51"/>
        </w:rPr>
        <w:t> </w:t>
      </w:r>
      <w:r>
        <w:rPr/>
        <w:t>del subsector Corporaciones Locales de las Administraciones Públicas de la Contabilidad Nacional.</w:t>
      </w:r>
    </w:p>
    <w:p>
      <w:pPr>
        <w:pStyle w:val="BodyText"/>
        <w:rPr>
          <w:sz w:val="17"/>
        </w:rPr>
      </w:pPr>
    </w:p>
    <w:p>
      <w:pPr>
        <w:pStyle w:val="BodyText"/>
        <w:spacing w:line="232" w:lineRule="auto" w:before="1"/>
        <w:ind w:left="1435" w:right="790"/>
        <w:jc w:val="both"/>
      </w:pPr>
      <w:r>
        <w:rPr/>
        <w:t>Debido a las diferencias de criterio entre la contabilidad presupuestaria y la contabilidad nacional, es necesaria la realización de ajustes a fin de adecuar la</w:t>
      </w:r>
    </w:p>
    <w:p>
      <w:pPr>
        <w:pStyle w:val="BodyText"/>
        <w:rPr>
          <w:sz w:val="20"/>
        </w:rPr>
      </w:pPr>
    </w:p>
    <w:p>
      <w:pPr>
        <w:pStyle w:val="BodyText"/>
        <w:rPr>
          <w:sz w:val="12"/>
        </w:rPr>
      </w:pPr>
    </w:p>
    <w:p>
      <w:pPr>
        <w:pStyle w:val="BodyText"/>
        <w:spacing w:before="8"/>
        <w:rPr>
          <w:sz w:val="13"/>
        </w:rPr>
      </w:pPr>
    </w:p>
    <w:p>
      <w:pPr>
        <w:spacing w:line="182" w:lineRule="auto" w:before="1"/>
        <w:ind w:left="4264" w:right="680" w:hanging="2261"/>
        <w:jc w:val="left"/>
        <w:rPr>
          <w:rFonts w:ascii="Tahoma" w:hAnsi="Tahoma"/>
          <w:sz w:val="10"/>
        </w:rPr>
      </w:pPr>
      <w:r>
        <w:rPr>
          <w:rFonts w:ascii="Tahoma" w:hAnsi="Tahoma"/>
          <w:color w:val="585858"/>
          <w:sz w:val="10"/>
        </w:rPr>
        <w:t>cmo. Ayuntamiento de Los Llanos de Aridane – CIF: P3802400F • Plaza de España S/N. C.P. 38760. Los Llanos de Aridane. La Palma • Tfno.: 922 460 111 • Fax.: 922 461 264 </w:t>
      </w:r>
      <w:hyperlink r:id="rId6">
        <w:r>
          <w:rPr>
            <w:rFonts w:ascii="Tahoma" w:hAnsi="Tahoma"/>
            <w:color w:val="0000FF"/>
            <w:sz w:val="10"/>
            <w:u w:val="single" w:color="0000FF"/>
          </w:rPr>
          <w:t>www.aridane.org</w:t>
        </w:r>
        <w:r>
          <w:rPr>
            <w:rFonts w:ascii="Tahoma" w:hAnsi="Tahoma"/>
            <w:color w:val="0000FF"/>
            <w:sz w:val="10"/>
          </w:rPr>
          <w:t> </w:t>
        </w:r>
      </w:hyperlink>
      <w:r>
        <w:rPr>
          <w:rFonts w:ascii="Tahoma" w:hAnsi="Tahoma"/>
          <w:color w:val="585858"/>
          <w:sz w:val="10"/>
        </w:rPr>
        <w:t>• </w:t>
      </w:r>
      <w:r>
        <w:rPr>
          <w:rFonts w:ascii="Tahoma" w:hAnsi="Tahoma"/>
          <w:color w:val="0000FF"/>
          <w:sz w:val="10"/>
          <w:u w:val="single" w:color="0000FF"/>
        </w:rPr>
        <w:t>eadmin.aridane.org</w:t>
      </w:r>
      <w:r>
        <w:rPr>
          <w:rFonts w:ascii="Tahoma" w:hAnsi="Tahoma"/>
          <w:color w:val="0000FF"/>
          <w:sz w:val="10"/>
        </w:rPr>
        <w:t> </w:t>
      </w:r>
      <w:r>
        <w:rPr>
          <w:rFonts w:ascii="Tahoma" w:hAnsi="Tahoma"/>
          <w:color w:val="585858"/>
          <w:sz w:val="10"/>
        </w:rPr>
        <w:t>• e-mail: </w:t>
      </w:r>
      <w:hyperlink r:id="rId7">
        <w:r>
          <w:rPr>
            <w:rFonts w:ascii="Tahoma" w:hAnsi="Tahoma"/>
            <w:color w:val="585858"/>
            <w:sz w:val="10"/>
          </w:rPr>
          <w:t>informacion@aridane.org</w:t>
        </w:r>
      </w:hyperlink>
    </w:p>
    <w:p>
      <w:pPr>
        <w:spacing w:after="0" w:line="182" w:lineRule="auto"/>
        <w:jc w:val="left"/>
        <w:rPr>
          <w:rFonts w:ascii="Tahoma" w:hAnsi="Tahoma"/>
          <w:sz w:val="10"/>
        </w:rPr>
        <w:sectPr>
          <w:footerReference w:type="default" r:id="rId9"/>
          <w:pgSz w:w="11910" w:h="16840"/>
          <w:pgMar w:footer="1200" w:header="390" w:top="2220" w:bottom="1400" w:left="380" w:right="380"/>
          <w:pgNumType w:start="2"/>
        </w:sectPr>
      </w:pPr>
    </w:p>
    <w:p>
      <w:pPr>
        <w:pStyle w:val="BodyText"/>
        <w:spacing w:before="4"/>
        <w:rPr>
          <w:rFonts w:ascii="Tahoma"/>
          <w:sz w:val="24"/>
        </w:rPr>
      </w:pPr>
    </w:p>
    <w:p>
      <w:pPr>
        <w:pStyle w:val="BodyText"/>
        <w:spacing w:line="232" w:lineRule="auto" w:before="107"/>
        <w:ind w:left="1435" w:right="680"/>
      </w:pPr>
      <w:r>
        <w:rPr/>
        <w:t>información presupuestaria de esta entidad a los criterios establecidos en el Sistema Europeo de Cuentas Nacionales y Regionales (SEC-10).</w:t>
      </w:r>
    </w:p>
    <w:p>
      <w:pPr>
        <w:pStyle w:val="BodyText"/>
        <w:spacing w:before="10"/>
        <w:rPr>
          <w:sz w:val="16"/>
        </w:rPr>
      </w:pPr>
    </w:p>
    <w:p>
      <w:pPr>
        <w:spacing w:line="242" w:lineRule="auto" w:before="0"/>
        <w:ind w:left="1435" w:right="786" w:firstLine="0"/>
        <w:jc w:val="both"/>
        <w:rPr>
          <w:sz w:val="18"/>
        </w:rPr>
      </w:pPr>
      <w:r>
        <w:rPr>
          <w:sz w:val="18"/>
        </w:rPr>
        <w:t>La metodología para el cálculo de la estabilidad presupuestaria viene dada por el </w:t>
      </w:r>
      <w:r>
        <w:rPr>
          <w:i/>
          <w:sz w:val="18"/>
        </w:rPr>
        <w:t>“Manual del Cálculo del Déficit en Contabilidad Nacional adaptado a la </w:t>
      </w:r>
      <w:r>
        <w:rPr>
          <w:i/>
          <w:sz w:val="18"/>
        </w:rPr>
        <w:t>Administración Local” </w:t>
      </w:r>
      <w:r>
        <w:rPr>
          <w:sz w:val="18"/>
        </w:rPr>
        <w:t>el cual sirve como fundamento para la emisión de los cálculos contenidos en el presente</w:t>
      </w:r>
      <w:r>
        <w:rPr>
          <w:spacing w:val="5"/>
          <w:sz w:val="18"/>
        </w:rPr>
        <w:t> </w:t>
      </w:r>
      <w:r>
        <w:rPr>
          <w:sz w:val="18"/>
        </w:rPr>
        <w:t>informe.</w:t>
      </w:r>
    </w:p>
    <w:p>
      <w:pPr>
        <w:pStyle w:val="BodyText"/>
        <w:rPr>
          <w:sz w:val="20"/>
        </w:rPr>
      </w:pPr>
    </w:p>
    <w:p>
      <w:pPr>
        <w:pStyle w:val="BodyText"/>
        <w:spacing w:before="8"/>
        <w:rPr>
          <w:sz w:val="16"/>
        </w:rPr>
      </w:pPr>
    </w:p>
    <w:p>
      <w:pPr>
        <w:pStyle w:val="Heading1"/>
        <w:numPr>
          <w:ilvl w:val="1"/>
          <w:numId w:val="1"/>
        </w:numPr>
        <w:tabs>
          <w:tab w:pos="1983" w:val="left" w:leader="none"/>
        </w:tabs>
        <w:spacing w:line="240" w:lineRule="auto" w:before="0" w:after="0"/>
        <w:ind w:left="1982" w:right="0" w:hanging="547"/>
        <w:jc w:val="left"/>
      </w:pPr>
      <w:r>
        <w:rPr>
          <w:u w:val="single"/>
        </w:rPr>
        <w:t>AJUSTES A LA LIQUIDACIÓN DEL PRESUPUESTO DE</w:t>
      </w:r>
      <w:r>
        <w:rPr>
          <w:spacing w:val="11"/>
          <w:u w:val="single"/>
        </w:rPr>
        <w:t> </w:t>
      </w:r>
      <w:r>
        <w:rPr>
          <w:u w:val="single"/>
        </w:rPr>
        <w:t>INGRESOS</w:t>
      </w:r>
    </w:p>
    <w:p>
      <w:pPr>
        <w:pStyle w:val="BodyText"/>
        <w:spacing w:before="2"/>
        <w:rPr>
          <w:b/>
          <w:sz w:val="17"/>
        </w:rPr>
      </w:pPr>
    </w:p>
    <w:p>
      <w:pPr>
        <w:pStyle w:val="ListParagraph"/>
        <w:numPr>
          <w:ilvl w:val="2"/>
          <w:numId w:val="1"/>
        </w:numPr>
        <w:tabs>
          <w:tab w:pos="2202" w:val="left" w:leader="none"/>
        </w:tabs>
        <w:spacing w:line="240" w:lineRule="auto" w:before="0" w:after="0"/>
        <w:ind w:left="1435" w:right="0" w:firstLine="0"/>
        <w:jc w:val="left"/>
        <w:rPr>
          <w:sz w:val="18"/>
        </w:rPr>
      </w:pPr>
      <w:r>
        <w:rPr>
          <w:sz w:val="18"/>
        </w:rPr>
        <w:t>Criterio de caja en los Capítulos 1, 2 y 3 del Estado de</w:t>
      </w:r>
      <w:r>
        <w:rPr>
          <w:spacing w:val="35"/>
          <w:sz w:val="18"/>
        </w:rPr>
        <w:t> </w:t>
      </w:r>
      <w:r>
        <w:rPr>
          <w:sz w:val="18"/>
        </w:rPr>
        <w:t>Ingresos</w:t>
      </w:r>
    </w:p>
    <w:p>
      <w:pPr>
        <w:pStyle w:val="BodyText"/>
        <w:spacing w:before="2"/>
        <w:rPr>
          <w:sz w:val="17"/>
        </w:rPr>
      </w:pPr>
    </w:p>
    <w:p>
      <w:pPr>
        <w:pStyle w:val="BodyText"/>
        <w:spacing w:line="232" w:lineRule="auto" w:before="1"/>
        <w:ind w:left="1435" w:right="788" w:firstLine="648"/>
        <w:jc w:val="both"/>
      </w:pPr>
      <w:r>
        <w:rPr/>
        <w:t>En el citado manual se establece que “la capacidad/necesidad de  financiación de las administraciones públicas no puede verse afectada por los importes de impuestos y cotizaciones sociales cuya recaudación sea incierta”, por tanto se interpreta que, como para elaborar el presupuesto se utilizan como referencia los derechos reconocidos y no los recaudados tanto de ejercicio corriente como de ejercicios anteriores, procede hacer el ajuste que se describe  a continuación sobre los ingresos de los capítulos 1 a</w:t>
      </w:r>
      <w:r>
        <w:rPr>
          <w:spacing w:val="20"/>
        </w:rPr>
        <w:t> </w:t>
      </w:r>
      <w:r>
        <w:rPr/>
        <w:t>3:</w:t>
      </w:r>
    </w:p>
    <w:p>
      <w:pPr>
        <w:pStyle w:val="BodyText"/>
        <w:spacing w:line="232" w:lineRule="auto"/>
        <w:ind w:left="1435" w:right="791"/>
        <w:jc w:val="both"/>
      </w:pPr>
      <w:r>
        <w:rPr/>
        <w:t>AJUSTE: Se aplicará el criterio de caja, (ingresos recaudados durante el ejercicio, de ejercicios corriente y cerrados de cada capítulo), tomando los  datos de la liquidación</w:t>
      </w:r>
      <w:r>
        <w:rPr>
          <w:spacing w:val="1"/>
        </w:rPr>
        <w:t> </w:t>
      </w:r>
      <w:r>
        <w:rPr/>
        <w:t>2020.</w:t>
      </w:r>
    </w:p>
    <w:p>
      <w:pPr>
        <w:pStyle w:val="BodyText"/>
        <w:rPr>
          <w:sz w:val="20"/>
        </w:rPr>
      </w:pPr>
    </w:p>
    <w:p>
      <w:pPr>
        <w:pStyle w:val="BodyText"/>
        <w:spacing w:before="2"/>
        <w:rPr>
          <w:sz w:val="14"/>
        </w:rPr>
      </w:pPr>
    </w:p>
    <w:tbl>
      <w:tblPr>
        <w:tblW w:w="0" w:type="auto"/>
        <w:jc w:val="left"/>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16"/>
        <w:gridCol w:w="1362"/>
        <w:gridCol w:w="1270"/>
        <w:gridCol w:w="1270"/>
        <w:gridCol w:w="1367"/>
        <w:gridCol w:w="1174"/>
        <w:gridCol w:w="986"/>
      </w:tblGrid>
      <w:tr>
        <w:trPr>
          <w:trHeight w:val="251" w:hRule="atLeast"/>
        </w:trPr>
        <w:tc>
          <w:tcPr>
            <w:tcW w:w="3578" w:type="dxa"/>
            <w:gridSpan w:val="2"/>
            <w:tcBorders>
              <w:top w:val="nil"/>
              <w:left w:val="nil"/>
              <w:bottom w:val="nil"/>
            </w:tcBorders>
          </w:tcPr>
          <w:p>
            <w:pPr>
              <w:pStyle w:val="TableParagraph"/>
              <w:spacing w:line="240" w:lineRule="auto" w:before="0"/>
              <w:rPr>
                <w:rFonts w:ascii="Times New Roman"/>
                <w:sz w:val="16"/>
              </w:rPr>
            </w:pPr>
          </w:p>
        </w:tc>
        <w:tc>
          <w:tcPr>
            <w:tcW w:w="3907" w:type="dxa"/>
            <w:gridSpan w:val="3"/>
            <w:shd w:val="clear" w:color="auto" w:fill="938A53"/>
          </w:tcPr>
          <w:p>
            <w:pPr>
              <w:pStyle w:val="TableParagraph"/>
              <w:spacing w:line="139" w:lineRule="exact" w:before="92"/>
              <w:ind w:left="1446" w:right="1429"/>
              <w:jc w:val="center"/>
              <w:rPr>
                <w:b/>
                <w:sz w:val="14"/>
              </w:rPr>
            </w:pPr>
            <w:r>
              <w:rPr>
                <w:b/>
                <w:w w:val="105"/>
                <w:sz w:val="14"/>
              </w:rPr>
              <w:t>Recaudación</w:t>
            </w:r>
          </w:p>
        </w:tc>
        <w:tc>
          <w:tcPr>
            <w:tcW w:w="2160" w:type="dxa"/>
            <w:gridSpan w:val="2"/>
            <w:shd w:val="clear" w:color="auto" w:fill="938A53"/>
          </w:tcPr>
          <w:p>
            <w:pPr>
              <w:pStyle w:val="TableParagraph"/>
              <w:spacing w:line="139" w:lineRule="exact" w:before="92"/>
              <w:ind w:left="751" w:right="731"/>
              <w:jc w:val="center"/>
              <w:rPr>
                <w:b/>
                <w:sz w:val="14"/>
              </w:rPr>
            </w:pPr>
            <w:r>
              <w:rPr>
                <w:b/>
                <w:w w:val="105"/>
                <w:sz w:val="14"/>
              </w:rPr>
              <w:t>Ajustes</w:t>
            </w:r>
          </w:p>
        </w:tc>
      </w:tr>
      <w:tr>
        <w:trPr>
          <w:trHeight w:val="475" w:hRule="atLeast"/>
        </w:trPr>
        <w:tc>
          <w:tcPr>
            <w:tcW w:w="2216" w:type="dxa"/>
            <w:tcBorders>
              <w:top w:val="nil"/>
              <w:left w:val="nil"/>
            </w:tcBorders>
          </w:tcPr>
          <w:p>
            <w:pPr>
              <w:pStyle w:val="TableParagraph"/>
              <w:spacing w:line="240" w:lineRule="auto" w:before="0"/>
              <w:rPr>
                <w:rFonts w:ascii="Times New Roman"/>
                <w:sz w:val="16"/>
              </w:rPr>
            </w:pPr>
          </w:p>
        </w:tc>
        <w:tc>
          <w:tcPr>
            <w:tcW w:w="1362" w:type="dxa"/>
            <w:tcBorders>
              <w:right w:val="single" w:sz="4" w:space="0" w:color="000000"/>
            </w:tcBorders>
            <w:shd w:val="clear" w:color="auto" w:fill="DDD9C3"/>
          </w:tcPr>
          <w:p>
            <w:pPr>
              <w:pStyle w:val="TableParagraph"/>
              <w:spacing w:line="244" w:lineRule="auto" w:before="75"/>
              <w:ind w:left="200" w:firstLine="131"/>
              <w:rPr>
                <w:b/>
                <w:sz w:val="14"/>
              </w:rPr>
            </w:pPr>
            <w:r>
              <w:rPr>
                <w:b/>
                <w:w w:val="105"/>
                <w:sz w:val="14"/>
              </w:rPr>
              <w:t>Derechos </w:t>
            </w:r>
            <w:r>
              <w:rPr>
                <w:b/>
                <w:sz w:val="14"/>
              </w:rPr>
              <w:t>Reconocidos</w:t>
            </w:r>
          </w:p>
        </w:tc>
        <w:tc>
          <w:tcPr>
            <w:tcW w:w="1270" w:type="dxa"/>
            <w:tcBorders>
              <w:left w:val="single" w:sz="4" w:space="0" w:color="000000"/>
              <w:right w:val="single" w:sz="4" w:space="0" w:color="000000"/>
            </w:tcBorders>
            <w:shd w:val="clear" w:color="auto" w:fill="DDD9C3"/>
          </w:tcPr>
          <w:p>
            <w:pPr>
              <w:pStyle w:val="TableParagraph"/>
              <w:spacing w:line="240" w:lineRule="auto" w:before="75"/>
              <w:ind w:left="221" w:right="204"/>
              <w:jc w:val="center"/>
              <w:rPr>
                <w:b/>
                <w:sz w:val="14"/>
              </w:rPr>
            </w:pPr>
            <w:r>
              <w:rPr>
                <w:b/>
                <w:w w:val="105"/>
                <w:sz w:val="14"/>
              </w:rPr>
              <w:t>Ppto.</w:t>
            </w:r>
          </w:p>
          <w:p>
            <w:pPr>
              <w:pStyle w:val="TableParagraph"/>
              <w:spacing w:line="240" w:lineRule="auto" w:before="3"/>
              <w:ind w:left="221" w:right="204"/>
              <w:jc w:val="center"/>
              <w:rPr>
                <w:b/>
                <w:sz w:val="14"/>
              </w:rPr>
            </w:pPr>
            <w:r>
              <w:rPr>
                <w:b/>
                <w:w w:val="105"/>
                <w:sz w:val="14"/>
              </w:rPr>
              <w:t>Corriente</w:t>
            </w:r>
          </w:p>
        </w:tc>
        <w:tc>
          <w:tcPr>
            <w:tcW w:w="1270" w:type="dxa"/>
            <w:tcBorders>
              <w:left w:val="single" w:sz="4" w:space="0" w:color="000000"/>
              <w:right w:val="single" w:sz="4" w:space="0" w:color="000000"/>
            </w:tcBorders>
            <w:shd w:val="clear" w:color="auto" w:fill="DDD9C3"/>
          </w:tcPr>
          <w:p>
            <w:pPr>
              <w:pStyle w:val="TableParagraph"/>
              <w:spacing w:line="240" w:lineRule="auto" w:before="11"/>
              <w:rPr>
                <w:sz w:val="13"/>
              </w:rPr>
            </w:pPr>
          </w:p>
          <w:p>
            <w:pPr>
              <w:pStyle w:val="TableParagraph"/>
              <w:spacing w:line="240" w:lineRule="auto" w:before="0"/>
              <w:ind w:right="93"/>
              <w:jc w:val="right"/>
              <w:rPr>
                <w:b/>
                <w:sz w:val="14"/>
              </w:rPr>
            </w:pPr>
            <w:r>
              <w:rPr>
                <w:b/>
                <w:w w:val="105"/>
                <w:sz w:val="14"/>
              </w:rPr>
              <w:t>Ppto Cerrado</w:t>
            </w:r>
          </w:p>
        </w:tc>
        <w:tc>
          <w:tcPr>
            <w:tcW w:w="1367" w:type="dxa"/>
            <w:tcBorders>
              <w:left w:val="single" w:sz="4" w:space="0" w:color="000000"/>
              <w:right w:val="single" w:sz="4" w:space="0" w:color="000000"/>
            </w:tcBorders>
            <w:shd w:val="clear" w:color="auto" w:fill="DDD9C3"/>
          </w:tcPr>
          <w:p>
            <w:pPr>
              <w:pStyle w:val="TableParagraph"/>
              <w:spacing w:line="240" w:lineRule="auto" w:before="11"/>
              <w:rPr>
                <w:sz w:val="13"/>
              </w:rPr>
            </w:pPr>
          </w:p>
          <w:p>
            <w:pPr>
              <w:pStyle w:val="TableParagraph"/>
              <w:spacing w:line="240" w:lineRule="auto" w:before="0"/>
              <w:ind w:left="468"/>
              <w:rPr>
                <w:b/>
                <w:sz w:val="14"/>
              </w:rPr>
            </w:pPr>
            <w:r>
              <w:rPr>
                <w:b/>
                <w:w w:val="105"/>
                <w:sz w:val="14"/>
              </w:rPr>
              <w:t>Total</w:t>
            </w:r>
          </w:p>
        </w:tc>
        <w:tc>
          <w:tcPr>
            <w:tcW w:w="1174" w:type="dxa"/>
            <w:tcBorders>
              <w:left w:val="single" w:sz="4" w:space="0" w:color="000000"/>
              <w:right w:val="single" w:sz="4" w:space="0" w:color="000000"/>
            </w:tcBorders>
            <w:shd w:val="clear" w:color="auto" w:fill="DDD9C3"/>
          </w:tcPr>
          <w:p>
            <w:pPr>
              <w:pStyle w:val="TableParagraph"/>
              <w:spacing w:line="240" w:lineRule="auto" w:before="11"/>
              <w:rPr>
                <w:sz w:val="13"/>
              </w:rPr>
            </w:pPr>
          </w:p>
          <w:p>
            <w:pPr>
              <w:pStyle w:val="TableParagraph"/>
              <w:spacing w:line="240" w:lineRule="auto" w:before="0"/>
              <w:ind w:left="244"/>
              <w:rPr>
                <w:b/>
                <w:sz w:val="14"/>
              </w:rPr>
            </w:pPr>
            <w:r>
              <w:rPr>
                <w:b/>
                <w:w w:val="105"/>
                <w:sz w:val="14"/>
              </w:rPr>
              <w:t>Negativo</w:t>
            </w:r>
          </w:p>
        </w:tc>
        <w:tc>
          <w:tcPr>
            <w:tcW w:w="986" w:type="dxa"/>
            <w:tcBorders>
              <w:left w:val="single" w:sz="4" w:space="0" w:color="000000"/>
              <w:right w:val="single" w:sz="4" w:space="0" w:color="000000"/>
            </w:tcBorders>
            <w:shd w:val="clear" w:color="auto" w:fill="DDD9C3"/>
          </w:tcPr>
          <w:p>
            <w:pPr>
              <w:pStyle w:val="TableParagraph"/>
              <w:spacing w:line="240" w:lineRule="auto" w:before="11"/>
              <w:rPr>
                <w:sz w:val="13"/>
              </w:rPr>
            </w:pPr>
          </w:p>
          <w:p>
            <w:pPr>
              <w:pStyle w:val="TableParagraph"/>
              <w:spacing w:line="240" w:lineRule="auto" w:before="0"/>
              <w:ind w:left="148"/>
              <w:rPr>
                <w:b/>
                <w:sz w:val="14"/>
              </w:rPr>
            </w:pPr>
            <w:r>
              <w:rPr>
                <w:b/>
                <w:w w:val="105"/>
                <w:sz w:val="14"/>
              </w:rPr>
              <w:t>Positivo</w:t>
            </w:r>
          </w:p>
        </w:tc>
      </w:tr>
      <w:tr>
        <w:trPr>
          <w:trHeight w:val="268" w:hRule="atLeast"/>
        </w:trPr>
        <w:tc>
          <w:tcPr>
            <w:tcW w:w="2216" w:type="dxa"/>
            <w:vMerge w:val="restart"/>
          </w:tcPr>
          <w:p>
            <w:pPr>
              <w:pStyle w:val="TableParagraph"/>
              <w:spacing w:line="429" w:lineRule="auto" w:before="114"/>
              <w:ind w:left="64"/>
              <w:rPr>
                <w:b/>
                <w:sz w:val="14"/>
              </w:rPr>
            </w:pPr>
            <w:r>
              <w:rPr>
                <w:b/>
                <w:w w:val="105"/>
                <w:sz w:val="14"/>
              </w:rPr>
              <w:t>Impuestos Directos Impuestos Indirectos</w:t>
            </w:r>
          </w:p>
          <w:p>
            <w:pPr>
              <w:pStyle w:val="TableParagraph"/>
              <w:spacing w:line="139" w:lineRule="exact" w:before="14"/>
              <w:ind w:left="64"/>
              <w:rPr>
                <w:b/>
                <w:sz w:val="14"/>
              </w:rPr>
            </w:pPr>
            <w:r>
              <w:rPr>
                <w:b/>
                <w:w w:val="105"/>
                <w:sz w:val="14"/>
              </w:rPr>
              <w:t>Tasas y Otros Ingresos</w:t>
            </w:r>
          </w:p>
        </w:tc>
        <w:tc>
          <w:tcPr>
            <w:tcW w:w="1362" w:type="dxa"/>
            <w:tcBorders>
              <w:bottom w:val="single" w:sz="4" w:space="0" w:color="000000"/>
              <w:right w:val="single" w:sz="4" w:space="0" w:color="000000"/>
            </w:tcBorders>
          </w:tcPr>
          <w:p>
            <w:pPr>
              <w:pStyle w:val="TableParagraph"/>
              <w:spacing w:line="130" w:lineRule="exact" w:before="118"/>
              <w:ind w:right="45"/>
              <w:jc w:val="right"/>
              <w:rPr>
                <w:sz w:val="14"/>
              </w:rPr>
            </w:pPr>
            <w:r>
              <w:rPr>
                <w:sz w:val="14"/>
              </w:rPr>
              <w:t>4.461.379,40</w:t>
            </w:r>
          </w:p>
        </w:tc>
        <w:tc>
          <w:tcPr>
            <w:tcW w:w="1270" w:type="dxa"/>
            <w:tcBorders>
              <w:left w:val="single" w:sz="4" w:space="0" w:color="000000"/>
              <w:bottom w:val="single" w:sz="4" w:space="0" w:color="000000"/>
              <w:right w:val="single" w:sz="4" w:space="0" w:color="000000"/>
            </w:tcBorders>
          </w:tcPr>
          <w:p>
            <w:pPr>
              <w:pStyle w:val="TableParagraph"/>
              <w:spacing w:line="130" w:lineRule="exact" w:before="118"/>
              <w:ind w:right="45"/>
              <w:jc w:val="right"/>
              <w:rPr>
                <w:sz w:val="14"/>
              </w:rPr>
            </w:pPr>
            <w:r>
              <w:rPr>
                <w:sz w:val="14"/>
              </w:rPr>
              <w:t>3.137.654,21</w:t>
            </w:r>
          </w:p>
        </w:tc>
        <w:tc>
          <w:tcPr>
            <w:tcW w:w="1270" w:type="dxa"/>
            <w:tcBorders>
              <w:left w:val="single" w:sz="4" w:space="0" w:color="000000"/>
              <w:bottom w:val="single" w:sz="4" w:space="0" w:color="000000"/>
              <w:right w:val="single" w:sz="4" w:space="0" w:color="000000"/>
            </w:tcBorders>
          </w:tcPr>
          <w:p>
            <w:pPr>
              <w:pStyle w:val="TableParagraph"/>
              <w:spacing w:line="130" w:lineRule="exact" w:before="118"/>
              <w:ind w:right="45"/>
              <w:jc w:val="right"/>
              <w:rPr>
                <w:sz w:val="14"/>
              </w:rPr>
            </w:pPr>
            <w:r>
              <w:rPr>
                <w:sz w:val="14"/>
              </w:rPr>
              <w:t>1.139.830,18</w:t>
            </w:r>
          </w:p>
        </w:tc>
        <w:tc>
          <w:tcPr>
            <w:tcW w:w="1367" w:type="dxa"/>
            <w:tcBorders>
              <w:left w:val="single" w:sz="4" w:space="0" w:color="000000"/>
              <w:bottom w:val="single" w:sz="4" w:space="0" w:color="000000"/>
              <w:right w:val="single" w:sz="4" w:space="0" w:color="000000"/>
            </w:tcBorders>
          </w:tcPr>
          <w:p>
            <w:pPr>
              <w:pStyle w:val="TableParagraph"/>
              <w:spacing w:line="130" w:lineRule="exact" w:before="118"/>
              <w:ind w:right="45"/>
              <w:jc w:val="right"/>
              <w:rPr>
                <w:sz w:val="14"/>
              </w:rPr>
            </w:pPr>
            <w:r>
              <w:rPr>
                <w:sz w:val="14"/>
              </w:rPr>
              <w:t>4.277.484,39</w:t>
            </w:r>
          </w:p>
        </w:tc>
        <w:tc>
          <w:tcPr>
            <w:tcW w:w="1174" w:type="dxa"/>
            <w:tcBorders>
              <w:left w:val="single" w:sz="4" w:space="0" w:color="000000"/>
              <w:bottom w:val="single" w:sz="4" w:space="0" w:color="000000"/>
              <w:right w:val="single" w:sz="4" w:space="0" w:color="000000"/>
            </w:tcBorders>
          </w:tcPr>
          <w:p>
            <w:pPr>
              <w:pStyle w:val="TableParagraph"/>
              <w:spacing w:line="130" w:lineRule="exact" w:before="118"/>
              <w:ind w:right="41"/>
              <w:jc w:val="right"/>
              <w:rPr>
                <w:sz w:val="14"/>
              </w:rPr>
            </w:pPr>
            <w:r>
              <w:rPr>
                <w:sz w:val="14"/>
              </w:rPr>
              <w:t>-183.895,01</w:t>
            </w:r>
          </w:p>
        </w:tc>
        <w:tc>
          <w:tcPr>
            <w:tcW w:w="986" w:type="dxa"/>
            <w:tcBorders>
              <w:left w:val="single" w:sz="4" w:space="0" w:color="000000"/>
              <w:bottom w:val="single" w:sz="4" w:space="0" w:color="000000"/>
              <w:right w:val="single" w:sz="4" w:space="0" w:color="000000"/>
            </w:tcBorders>
          </w:tcPr>
          <w:p>
            <w:pPr>
              <w:pStyle w:val="TableParagraph"/>
              <w:spacing w:line="130" w:lineRule="exact" w:before="118"/>
              <w:ind w:right="46"/>
              <w:jc w:val="right"/>
              <w:rPr>
                <w:sz w:val="14"/>
              </w:rPr>
            </w:pPr>
            <w:r>
              <w:rPr>
                <w:sz w:val="14"/>
              </w:rPr>
              <w:t>0,00</w:t>
            </w:r>
          </w:p>
        </w:tc>
      </w:tr>
      <w:tr>
        <w:trPr>
          <w:trHeight w:val="264" w:hRule="atLeast"/>
        </w:trPr>
        <w:tc>
          <w:tcPr>
            <w:tcW w:w="2216" w:type="dxa"/>
            <w:vMerge/>
            <w:tcBorders>
              <w:top w:val="nil"/>
            </w:tcBorders>
          </w:tcPr>
          <w:p>
            <w:pPr>
              <w:rPr>
                <w:sz w:val="2"/>
                <w:szCs w:val="2"/>
              </w:rPr>
            </w:pPr>
          </w:p>
        </w:tc>
        <w:tc>
          <w:tcPr>
            <w:tcW w:w="1362" w:type="dxa"/>
            <w:tcBorders>
              <w:top w:val="single" w:sz="4" w:space="0" w:color="000000"/>
              <w:bottom w:val="single" w:sz="4" w:space="0" w:color="000000"/>
              <w:right w:val="single" w:sz="4" w:space="0" w:color="000000"/>
            </w:tcBorders>
          </w:tcPr>
          <w:p>
            <w:pPr>
              <w:pStyle w:val="TableParagraph"/>
              <w:spacing w:line="130" w:lineRule="exact" w:before="114"/>
              <w:ind w:right="45"/>
              <w:jc w:val="right"/>
              <w:rPr>
                <w:sz w:val="14"/>
              </w:rPr>
            </w:pPr>
            <w:r>
              <w:rPr>
                <w:sz w:val="14"/>
              </w:rPr>
              <w:t>2.813.869,87</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114"/>
              <w:ind w:right="45"/>
              <w:jc w:val="right"/>
              <w:rPr>
                <w:sz w:val="14"/>
              </w:rPr>
            </w:pPr>
            <w:r>
              <w:rPr>
                <w:sz w:val="14"/>
              </w:rPr>
              <w:t>2.773.744,62</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114"/>
              <w:ind w:right="45"/>
              <w:jc w:val="right"/>
              <w:rPr>
                <w:sz w:val="14"/>
              </w:rPr>
            </w:pPr>
            <w:r>
              <w:rPr>
                <w:sz w:val="14"/>
              </w:rPr>
              <w:t>50.881,27</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114"/>
              <w:ind w:right="45"/>
              <w:jc w:val="right"/>
              <w:rPr>
                <w:sz w:val="14"/>
              </w:rPr>
            </w:pPr>
            <w:r>
              <w:rPr>
                <w:sz w:val="14"/>
              </w:rPr>
              <w:t>2.824.625,89</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114"/>
              <w:ind w:right="41"/>
              <w:jc w:val="right"/>
              <w:rPr>
                <w:sz w:val="14"/>
              </w:rPr>
            </w:pPr>
            <w:r>
              <w:rPr>
                <w:sz w:val="14"/>
              </w:rPr>
              <w:t>0,00</w:t>
            </w:r>
          </w:p>
        </w:tc>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114"/>
              <w:ind w:right="46"/>
              <w:jc w:val="right"/>
              <w:rPr>
                <w:sz w:val="14"/>
              </w:rPr>
            </w:pPr>
            <w:r>
              <w:rPr>
                <w:sz w:val="14"/>
              </w:rPr>
              <w:t>10.756,02</w:t>
            </w:r>
          </w:p>
        </w:tc>
      </w:tr>
      <w:tr>
        <w:trPr>
          <w:trHeight w:val="282" w:hRule="atLeast"/>
        </w:trPr>
        <w:tc>
          <w:tcPr>
            <w:tcW w:w="2216" w:type="dxa"/>
            <w:vMerge/>
            <w:tcBorders>
              <w:top w:val="nil"/>
            </w:tcBorders>
          </w:tcPr>
          <w:p>
            <w:pPr>
              <w:rPr>
                <w:sz w:val="2"/>
                <w:szCs w:val="2"/>
              </w:rPr>
            </w:pPr>
          </w:p>
        </w:tc>
        <w:tc>
          <w:tcPr>
            <w:tcW w:w="1362" w:type="dxa"/>
            <w:tcBorders>
              <w:top w:val="single" w:sz="4" w:space="0" w:color="000000"/>
              <w:right w:val="single" w:sz="4" w:space="0" w:color="000000"/>
            </w:tcBorders>
          </w:tcPr>
          <w:p>
            <w:pPr>
              <w:pStyle w:val="TableParagraph"/>
              <w:spacing w:before="127"/>
              <w:ind w:right="45"/>
              <w:jc w:val="right"/>
              <w:rPr>
                <w:sz w:val="14"/>
              </w:rPr>
            </w:pPr>
            <w:r>
              <w:rPr>
                <w:sz w:val="14"/>
              </w:rPr>
              <w:t>3.612.373,01</w:t>
            </w:r>
          </w:p>
        </w:tc>
        <w:tc>
          <w:tcPr>
            <w:tcW w:w="1270" w:type="dxa"/>
            <w:tcBorders>
              <w:top w:val="single" w:sz="4" w:space="0" w:color="000000"/>
              <w:left w:val="single" w:sz="4" w:space="0" w:color="000000"/>
              <w:right w:val="single" w:sz="4" w:space="0" w:color="000000"/>
            </w:tcBorders>
          </w:tcPr>
          <w:p>
            <w:pPr>
              <w:pStyle w:val="TableParagraph"/>
              <w:spacing w:before="127"/>
              <w:ind w:right="45"/>
              <w:jc w:val="right"/>
              <w:rPr>
                <w:sz w:val="14"/>
              </w:rPr>
            </w:pPr>
            <w:r>
              <w:rPr>
                <w:sz w:val="14"/>
              </w:rPr>
              <w:t>2.857.080,33</w:t>
            </w:r>
          </w:p>
        </w:tc>
        <w:tc>
          <w:tcPr>
            <w:tcW w:w="1270" w:type="dxa"/>
            <w:tcBorders>
              <w:top w:val="single" w:sz="4" w:space="0" w:color="000000"/>
              <w:left w:val="single" w:sz="4" w:space="0" w:color="000000"/>
              <w:right w:val="single" w:sz="4" w:space="0" w:color="000000"/>
            </w:tcBorders>
          </w:tcPr>
          <w:p>
            <w:pPr>
              <w:pStyle w:val="TableParagraph"/>
              <w:spacing w:before="127"/>
              <w:ind w:right="45"/>
              <w:jc w:val="right"/>
              <w:rPr>
                <w:sz w:val="14"/>
              </w:rPr>
            </w:pPr>
            <w:r>
              <w:rPr>
                <w:sz w:val="14"/>
              </w:rPr>
              <w:t>503.403,19</w:t>
            </w:r>
          </w:p>
        </w:tc>
        <w:tc>
          <w:tcPr>
            <w:tcW w:w="1367" w:type="dxa"/>
            <w:tcBorders>
              <w:top w:val="single" w:sz="4" w:space="0" w:color="000000"/>
              <w:left w:val="single" w:sz="4" w:space="0" w:color="000000"/>
              <w:right w:val="single" w:sz="4" w:space="0" w:color="000000"/>
            </w:tcBorders>
          </w:tcPr>
          <w:p>
            <w:pPr>
              <w:pStyle w:val="TableParagraph"/>
              <w:spacing w:before="127"/>
              <w:ind w:right="45"/>
              <w:jc w:val="right"/>
              <w:rPr>
                <w:sz w:val="14"/>
              </w:rPr>
            </w:pPr>
            <w:r>
              <w:rPr>
                <w:sz w:val="14"/>
              </w:rPr>
              <w:t>3.360.483,52</w:t>
            </w:r>
          </w:p>
        </w:tc>
        <w:tc>
          <w:tcPr>
            <w:tcW w:w="1174" w:type="dxa"/>
            <w:tcBorders>
              <w:top w:val="single" w:sz="4" w:space="0" w:color="000000"/>
              <w:left w:val="single" w:sz="4" w:space="0" w:color="000000"/>
              <w:right w:val="single" w:sz="4" w:space="0" w:color="000000"/>
            </w:tcBorders>
          </w:tcPr>
          <w:p>
            <w:pPr>
              <w:pStyle w:val="TableParagraph"/>
              <w:spacing w:before="127"/>
              <w:ind w:right="41"/>
              <w:jc w:val="right"/>
              <w:rPr>
                <w:sz w:val="14"/>
              </w:rPr>
            </w:pPr>
            <w:r>
              <w:rPr>
                <w:sz w:val="14"/>
              </w:rPr>
              <w:t>-251.889,49</w:t>
            </w:r>
          </w:p>
        </w:tc>
        <w:tc>
          <w:tcPr>
            <w:tcW w:w="986" w:type="dxa"/>
            <w:tcBorders>
              <w:top w:val="single" w:sz="4" w:space="0" w:color="000000"/>
              <w:left w:val="single" w:sz="4" w:space="0" w:color="000000"/>
              <w:right w:val="single" w:sz="4" w:space="0" w:color="000000"/>
            </w:tcBorders>
          </w:tcPr>
          <w:p>
            <w:pPr>
              <w:pStyle w:val="TableParagraph"/>
              <w:spacing w:before="127"/>
              <w:ind w:right="46"/>
              <w:jc w:val="right"/>
              <w:rPr>
                <w:sz w:val="14"/>
              </w:rPr>
            </w:pPr>
            <w:r>
              <w:rPr>
                <w:sz w:val="14"/>
              </w:rPr>
              <w:t>0,00</w:t>
            </w:r>
          </w:p>
        </w:tc>
      </w:tr>
      <w:tr>
        <w:trPr>
          <w:trHeight w:val="286" w:hRule="atLeast"/>
        </w:trPr>
        <w:tc>
          <w:tcPr>
            <w:tcW w:w="2216" w:type="dxa"/>
            <w:shd w:val="clear" w:color="auto" w:fill="DDD9C3"/>
          </w:tcPr>
          <w:p>
            <w:pPr>
              <w:pStyle w:val="TableParagraph"/>
              <w:spacing w:line="139" w:lineRule="exact" w:before="127"/>
              <w:ind w:left="865" w:right="848"/>
              <w:jc w:val="center"/>
              <w:rPr>
                <w:b/>
                <w:sz w:val="14"/>
              </w:rPr>
            </w:pPr>
            <w:r>
              <w:rPr>
                <w:b/>
                <w:w w:val="105"/>
                <w:sz w:val="14"/>
              </w:rPr>
              <w:t>Total</w:t>
            </w:r>
          </w:p>
        </w:tc>
        <w:tc>
          <w:tcPr>
            <w:tcW w:w="1362" w:type="dxa"/>
            <w:shd w:val="clear" w:color="auto" w:fill="DDD9C3"/>
          </w:tcPr>
          <w:p>
            <w:pPr>
              <w:pStyle w:val="TableParagraph"/>
              <w:spacing w:line="139" w:lineRule="exact" w:before="127"/>
              <w:ind w:right="40"/>
              <w:jc w:val="right"/>
              <w:rPr>
                <w:b/>
                <w:sz w:val="14"/>
              </w:rPr>
            </w:pPr>
            <w:r>
              <w:rPr>
                <w:b/>
                <w:sz w:val="14"/>
              </w:rPr>
              <w:t>10.887.622,28</w:t>
            </w:r>
          </w:p>
        </w:tc>
        <w:tc>
          <w:tcPr>
            <w:tcW w:w="1270" w:type="dxa"/>
            <w:shd w:val="clear" w:color="auto" w:fill="DDD9C3"/>
          </w:tcPr>
          <w:p>
            <w:pPr>
              <w:pStyle w:val="TableParagraph"/>
              <w:spacing w:line="139" w:lineRule="exact" w:before="127"/>
              <w:ind w:right="40"/>
              <w:jc w:val="right"/>
              <w:rPr>
                <w:b/>
                <w:sz w:val="14"/>
              </w:rPr>
            </w:pPr>
            <w:r>
              <w:rPr>
                <w:b/>
                <w:sz w:val="14"/>
              </w:rPr>
              <w:t>8.768.479,16</w:t>
            </w:r>
          </w:p>
        </w:tc>
        <w:tc>
          <w:tcPr>
            <w:tcW w:w="1270" w:type="dxa"/>
            <w:shd w:val="clear" w:color="auto" w:fill="DDD9C3"/>
          </w:tcPr>
          <w:p>
            <w:pPr>
              <w:pStyle w:val="TableParagraph"/>
              <w:spacing w:line="139" w:lineRule="exact" w:before="127"/>
              <w:ind w:right="40"/>
              <w:jc w:val="right"/>
              <w:rPr>
                <w:b/>
                <w:sz w:val="14"/>
              </w:rPr>
            </w:pPr>
            <w:r>
              <w:rPr>
                <w:b/>
                <w:sz w:val="14"/>
              </w:rPr>
              <w:t>1.694.114,64</w:t>
            </w:r>
          </w:p>
        </w:tc>
        <w:tc>
          <w:tcPr>
            <w:tcW w:w="1367" w:type="dxa"/>
            <w:shd w:val="clear" w:color="auto" w:fill="DDD9C3"/>
          </w:tcPr>
          <w:p>
            <w:pPr>
              <w:pStyle w:val="TableParagraph"/>
              <w:spacing w:line="139" w:lineRule="exact" w:before="127"/>
              <w:ind w:right="40"/>
              <w:jc w:val="right"/>
              <w:rPr>
                <w:b/>
                <w:sz w:val="14"/>
              </w:rPr>
            </w:pPr>
            <w:r>
              <w:rPr>
                <w:b/>
                <w:sz w:val="14"/>
              </w:rPr>
              <w:t>10.462.593,80</w:t>
            </w:r>
          </w:p>
        </w:tc>
        <w:tc>
          <w:tcPr>
            <w:tcW w:w="1174" w:type="dxa"/>
            <w:shd w:val="clear" w:color="auto" w:fill="DDD9C3"/>
          </w:tcPr>
          <w:p>
            <w:pPr>
              <w:pStyle w:val="TableParagraph"/>
              <w:spacing w:line="139" w:lineRule="exact" w:before="127"/>
              <w:ind w:right="36"/>
              <w:jc w:val="right"/>
              <w:rPr>
                <w:b/>
                <w:sz w:val="14"/>
              </w:rPr>
            </w:pPr>
            <w:r>
              <w:rPr>
                <w:b/>
                <w:sz w:val="14"/>
              </w:rPr>
              <w:t>-435.784,50</w:t>
            </w:r>
          </w:p>
        </w:tc>
        <w:tc>
          <w:tcPr>
            <w:tcW w:w="986" w:type="dxa"/>
            <w:tcBorders>
              <w:right w:val="single" w:sz="4" w:space="0" w:color="000000"/>
            </w:tcBorders>
            <w:shd w:val="clear" w:color="auto" w:fill="DDD9C3"/>
          </w:tcPr>
          <w:p>
            <w:pPr>
              <w:pStyle w:val="TableParagraph"/>
              <w:spacing w:before="131"/>
              <w:ind w:right="46"/>
              <w:jc w:val="right"/>
              <w:rPr>
                <w:sz w:val="14"/>
              </w:rPr>
            </w:pPr>
            <w:r>
              <w:rPr>
                <w:sz w:val="14"/>
              </w:rPr>
              <w:t>10.756,02</w:t>
            </w:r>
          </w:p>
        </w:tc>
      </w:tr>
    </w:tbl>
    <w:p>
      <w:pPr>
        <w:pStyle w:val="BodyText"/>
        <w:rPr>
          <w:sz w:val="20"/>
        </w:rPr>
      </w:pPr>
    </w:p>
    <w:p>
      <w:pPr>
        <w:pStyle w:val="BodyText"/>
        <w:rPr>
          <w:sz w:val="20"/>
        </w:rPr>
      </w:pPr>
    </w:p>
    <w:p>
      <w:pPr>
        <w:pStyle w:val="ListParagraph"/>
        <w:numPr>
          <w:ilvl w:val="2"/>
          <w:numId w:val="1"/>
        </w:numPr>
        <w:tabs>
          <w:tab w:pos="2263" w:val="left" w:leader="none"/>
        </w:tabs>
        <w:spacing w:line="232" w:lineRule="auto" w:before="137" w:after="0"/>
        <w:ind w:left="1435" w:right="788" w:firstLine="0"/>
        <w:jc w:val="left"/>
        <w:rPr>
          <w:sz w:val="18"/>
        </w:rPr>
      </w:pPr>
      <w:r>
        <w:rPr>
          <w:sz w:val="18"/>
        </w:rPr>
        <w:t>En el Capítulo 4 Ingresos por participación en ingresos del Estado o tributos cedidos, según el régimen de la</w:t>
      </w:r>
      <w:r>
        <w:rPr>
          <w:spacing w:val="10"/>
          <w:sz w:val="18"/>
        </w:rPr>
        <w:t> </w:t>
      </w:r>
      <w:r>
        <w:rPr>
          <w:sz w:val="18"/>
        </w:rPr>
        <w:t>Entidad.</w:t>
      </w:r>
    </w:p>
    <w:p>
      <w:pPr>
        <w:pStyle w:val="BodyText"/>
        <w:spacing w:before="3"/>
        <w:rPr>
          <w:sz w:val="17"/>
        </w:rPr>
      </w:pPr>
    </w:p>
    <w:p>
      <w:pPr>
        <w:pStyle w:val="BodyText"/>
        <w:spacing w:line="232" w:lineRule="auto"/>
        <w:ind w:left="1435" w:right="791" w:firstLine="648"/>
        <w:jc w:val="both"/>
      </w:pPr>
      <w:r>
        <w:rPr/>
        <w:t>Otro ajuste que cabría realizar, lo constituye el importe que se reintegró durante 2018 al Estado en concepto de devolución de las liquidaciones negativas correspondiente a los ejercicios 2008 y 2009 por el concepto de Participación en los Tributos del Estado, que opera sumándolo a los Derechos Reconocidos Netos por este concepto en 2020, concretamente:</w:t>
      </w:r>
    </w:p>
    <w:p>
      <w:pPr>
        <w:pStyle w:val="BodyText"/>
        <w:spacing w:before="2"/>
        <w:rPr>
          <w:sz w:val="17"/>
        </w:rPr>
      </w:pPr>
    </w:p>
    <w:tbl>
      <w:tblPr>
        <w:tblW w:w="0" w:type="auto"/>
        <w:jc w:val="left"/>
        <w:tblInd w:w="2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4"/>
        <w:gridCol w:w="1165"/>
      </w:tblGrid>
      <w:tr>
        <w:trPr>
          <w:trHeight w:val="274" w:hRule="atLeast"/>
        </w:trPr>
        <w:tc>
          <w:tcPr>
            <w:tcW w:w="4954" w:type="dxa"/>
          </w:tcPr>
          <w:p>
            <w:pPr>
              <w:pStyle w:val="TableParagraph"/>
              <w:spacing w:line="240" w:lineRule="auto" w:before="33"/>
              <w:ind w:left="65"/>
              <w:rPr>
                <w:sz w:val="18"/>
              </w:rPr>
            </w:pPr>
            <w:r>
              <w:rPr>
                <w:sz w:val="18"/>
              </w:rPr>
              <w:t>Devolución liquidación PIE 2008 en 2018</w:t>
            </w:r>
          </w:p>
        </w:tc>
        <w:tc>
          <w:tcPr>
            <w:tcW w:w="1165" w:type="dxa"/>
          </w:tcPr>
          <w:p>
            <w:pPr>
              <w:pStyle w:val="TableParagraph"/>
              <w:spacing w:line="182" w:lineRule="exact" w:before="73"/>
              <w:ind w:left="64"/>
              <w:rPr>
                <w:sz w:val="18"/>
              </w:rPr>
            </w:pPr>
            <w:r>
              <w:rPr>
                <w:sz w:val="18"/>
              </w:rPr>
              <w:t>30.404,40</w:t>
            </w:r>
          </w:p>
        </w:tc>
      </w:tr>
      <w:tr>
        <w:trPr>
          <w:trHeight w:val="274" w:hRule="atLeast"/>
        </w:trPr>
        <w:tc>
          <w:tcPr>
            <w:tcW w:w="4954" w:type="dxa"/>
          </w:tcPr>
          <w:p>
            <w:pPr>
              <w:pStyle w:val="TableParagraph"/>
              <w:spacing w:line="240" w:lineRule="auto" w:before="33"/>
              <w:ind w:left="65"/>
              <w:rPr>
                <w:sz w:val="18"/>
              </w:rPr>
            </w:pPr>
            <w:r>
              <w:rPr>
                <w:sz w:val="18"/>
              </w:rPr>
              <w:t>Devolución liquidación PIE 2009 en 2018</w:t>
            </w:r>
          </w:p>
        </w:tc>
        <w:tc>
          <w:tcPr>
            <w:tcW w:w="1165" w:type="dxa"/>
          </w:tcPr>
          <w:p>
            <w:pPr>
              <w:pStyle w:val="TableParagraph"/>
              <w:spacing w:line="182" w:lineRule="exact" w:before="73"/>
              <w:ind w:left="64"/>
              <w:rPr>
                <w:sz w:val="18"/>
              </w:rPr>
            </w:pPr>
            <w:r>
              <w:rPr>
                <w:sz w:val="18"/>
              </w:rPr>
              <w:t>70.124,16</w:t>
            </w:r>
          </w:p>
        </w:tc>
      </w:tr>
    </w:tbl>
    <w:p>
      <w:pPr>
        <w:pStyle w:val="BodyText"/>
        <w:rPr>
          <w:sz w:val="20"/>
        </w:rPr>
      </w:pPr>
    </w:p>
    <w:p>
      <w:pPr>
        <w:pStyle w:val="BodyText"/>
        <w:rPr>
          <w:sz w:val="20"/>
        </w:rPr>
      </w:pPr>
    </w:p>
    <w:p>
      <w:pPr>
        <w:pStyle w:val="BodyText"/>
        <w:rPr>
          <w:sz w:val="16"/>
        </w:rPr>
      </w:pPr>
    </w:p>
    <w:p>
      <w:pPr>
        <w:pStyle w:val="Heading1"/>
        <w:numPr>
          <w:ilvl w:val="1"/>
          <w:numId w:val="2"/>
        </w:numPr>
        <w:tabs>
          <w:tab w:pos="1983" w:val="left" w:leader="none"/>
        </w:tabs>
        <w:spacing w:line="203" w:lineRule="exact" w:before="0" w:after="0"/>
        <w:ind w:left="1982" w:right="0" w:hanging="547"/>
        <w:jc w:val="left"/>
      </w:pPr>
      <w:r>
        <w:rPr>
          <w:u w:val="single"/>
        </w:rPr>
        <w:t>AJUSTES A LA LIQUIDACIÓN DEL PRESUPUESTO DE</w:t>
      </w:r>
      <w:r>
        <w:rPr>
          <w:spacing w:val="10"/>
          <w:u w:val="single"/>
        </w:rPr>
        <w:t> </w:t>
      </w:r>
      <w:r>
        <w:rPr>
          <w:u w:val="single"/>
        </w:rPr>
        <w:t>GASTOS</w:t>
      </w:r>
    </w:p>
    <w:p>
      <w:pPr>
        <w:pStyle w:val="ListParagraph"/>
        <w:numPr>
          <w:ilvl w:val="2"/>
          <w:numId w:val="2"/>
        </w:numPr>
        <w:tabs>
          <w:tab w:pos="2202" w:val="left" w:leader="none"/>
        </w:tabs>
        <w:spacing w:line="203" w:lineRule="exact" w:before="0" w:after="0"/>
        <w:ind w:left="2201" w:right="0" w:hanging="766"/>
        <w:jc w:val="left"/>
        <w:rPr>
          <w:sz w:val="18"/>
        </w:rPr>
      </w:pPr>
      <w:r>
        <w:rPr>
          <w:sz w:val="18"/>
        </w:rPr>
        <w:t>Gastos realizados en el ejercicio pendientes de aplicar al</w:t>
      </w:r>
      <w:r>
        <w:rPr>
          <w:spacing w:val="40"/>
          <w:sz w:val="18"/>
        </w:rPr>
        <w:t> </w:t>
      </w:r>
      <w:r>
        <w:rPr>
          <w:sz w:val="18"/>
        </w:rPr>
        <w:t>Presupuesto.</w:t>
      </w:r>
    </w:p>
    <w:p>
      <w:pPr>
        <w:pStyle w:val="BodyText"/>
        <w:spacing w:before="1"/>
        <w:rPr>
          <w:sz w:val="17"/>
        </w:rPr>
      </w:pPr>
    </w:p>
    <w:p>
      <w:pPr>
        <w:pStyle w:val="BodyText"/>
        <w:spacing w:line="232" w:lineRule="auto" w:before="1"/>
        <w:ind w:left="1435" w:right="790" w:firstLine="648"/>
        <w:jc w:val="both"/>
      </w:pPr>
      <w:r>
        <w:rPr/>
        <w:t>En contabilidad nacional, el registro de obligaciones se rige por el principio de devengo, lo que implica que cómputo de cualquier gasto efectivamente realizado con independencia del momento en que tiene lugar su imputación presupuestaria y/o contable.</w:t>
      </w:r>
    </w:p>
    <w:p>
      <w:pPr>
        <w:pStyle w:val="BodyText"/>
        <w:rPr>
          <w:sz w:val="20"/>
        </w:rPr>
      </w:pPr>
    </w:p>
    <w:p>
      <w:pPr>
        <w:pStyle w:val="BodyText"/>
        <w:rPr>
          <w:sz w:val="12"/>
        </w:rPr>
      </w:pPr>
    </w:p>
    <w:p>
      <w:pPr>
        <w:pStyle w:val="BodyText"/>
        <w:spacing w:before="9"/>
        <w:rPr>
          <w:sz w:val="9"/>
        </w:rPr>
      </w:pPr>
    </w:p>
    <w:p>
      <w:pPr>
        <w:spacing w:line="182" w:lineRule="auto" w:before="0"/>
        <w:ind w:left="4264" w:right="680" w:hanging="2261"/>
        <w:jc w:val="left"/>
        <w:rPr>
          <w:rFonts w:ascii="Tahoma" w:hAnsi="Tahoma"/>
          <w:sz w:val="10"/>
        </w:rPr>
      </w:pPr>
      <w:r>
        <w:rPr>
          <w:rFonts w:ascii="Tahoma" w:hAnsi="Tahoma"/>
          <w:color w:val="585858"/>
          <w:sz w:val="10"/>
        </w:rPr>
        <w:t>cmo. Ayuntamiento de Los Llanos de Aridane – CIF: P3802400F • Plaza de España S/N. C.P. 38760. Los Llanos de Aridane. La Palma • Tfno.: 922 460 111 • Fax.: 922 461 264 </w:t>
      </w:r>
      <w:hyperlink r:id="rId6">
        <w:r>
          <w:rPr>
            <w:rFonts w:ascii="Tahoma" w:hAnsi="Tahoma"/>
            <w:color w:val="0000FF"/>
            <w:sz w:val="10"/>
            <w:u w:val="single" w:color="0000FF"/>
          </w:rPr>
          <w:t>www.aridane.org</w:t>
        </w:r>
        <w:r>
          <w:rPr>
            <w:rFonts w:ascii="Tahoma" w:hAnsi="Tahoma"/>
            <w:color w:val="0000FF"/>
            <w:sz w:val="10"/>
          </w:rPr>
          <w:t> </w:t>
        </w:r>
      </w:hyperlink>
      <w:r>
        <w:rPr>
          <w:rFonts w:ascii="Tahoma" w:hAnsi="Tahoma"/>
          <w:color w:val="585858"/>
          <w:sz w:val="10"/>
        </w:rPr>
        <w:t>• </w:t>
      </w:r>
      <w:r>
        <w:rPr>
          <w:rFonts w:ascii="Tahoma" w:hAnsi="Tahoma"/>
          <w:color w:val="0000FF"/>
          <w:sz w:val="10"/>
          <w:u w:val="single" w:color="0000FF"/>
        </w:rPr>
        <w:t>eadmin.aridane.org</w:t>
      </w:r>
      <w:r>
        <w:rPr>
          <w:rFonts w:ascii="Tahoma" w:hAnsi="Tahoma"/>
          <w:color w:val="0000FF"/>
          <w:sz w:val="10"/>
        </w:rPr>
        <w:t> </w:t>
      </w:r>
      <w:r>
        <w:rPr>
          <w:rFonts w:ascii="Tahoma" w:hAnsi="Tahoma"/>
          <w:color w:val="585858"/>
          <w:sz w:val="10"/>
        </w:rPr>
        <w:t>• e-mail: </w:t>
      </w:r>
      <w:hyperlink r:id="rId7">
        <w:r>
          <w:rPr>
            <w:rFonts w:ascii="Tahoma" w:hAnsi="Tahoma"/>
            <w:color w:val="585858"/>
            <w:sz w:val="10"/>
          </w:rPr>
          <w:t>informacion@aridane.org</w:t>
        </w:r>
      </w:hyperlink>
    </w:p>
    <w:p>
      <w:pPr>
        <w:spacing w:after="0" w:line="182" w:lineRule="auto"/>
        <w:jc w:val="left"/>
        <w:rPr>
          <w:rFonts w:ascii="Tahoma" w:hAnsi="Tahoma"/>
          <w:sz w:val="10"/>
        </w:rPr>
        <w:sectPr>
          <w:pgSz w:w="11910" w:h="16840"/>
          <w:pgMar w:header="390" w:footer="1200" w:top="2220" w:bottom="1400" w:left="380" w:right="380"/>
        </w:sectPr>
      </w:pPr>
    </w:p>
    <w:p>
      <w:pPr>
        <w:pStyle w:val="BodyText"/>
        <w:spacing w:before="4"/>
        <w:rPr>
          <w:rFonts w:ascii="Tahoma"/>
          <w:sz w:val="24"/>
        </w:rPr>
      </w:pPr>
    </w:p>
    <w:p>
      <w:pPr>
        <w:pStyle w:val="BodyText"/>
        <w:spacing w:line="232" w:lineRule="auto" w:before="107"/>
        <w:ind w:left="1435" w:right="790" w:firstLine="648"/>
        <w:jc w:val="both"/>
      </w:pPr>
      <w:r>
        <w:rPr/>
        <w:t>La &lt;&lt;Cuenta 413. Acreedores por operaciones pendientes de aplicar a presupuesto &gt;&gt;, recoge las obligaciones derivadas de gastos realizado o bienes y servicios recibidos, para lo que no se ha producido su aplicación al presupuesto. Esta cuenta deberá recoger todas las operaciones devengadas durante el periodo considerado, por la Corporación Local, que se hayan registrado en la cuenta 413, con independencia de las posibles divisionarias utilizadas en dicha cuenta, de acuerdo con lo establecido en la modificación de los Planes de Cuentas locales aprobada por Orden HAC/1364/2018.</w:t>
      </w:r>
    </w:p>
    <w:p>
      <w:pPr>
        <w:pStyle w:val="BodyText"/>
        <w:spacing w:line="232" w:lineRule="auto"/>
        <w:ind w:left="1435" w:right="791"/>
        <w:jc w:val="both"/>
      </w:pPr>
      <w:r>
        <w:rPr/>
        <w:t>Asimismo la cuenta 555. Gastos Pendientes de aplicación recoge, en el mismo sentido, gastos realizados pendientes de aplicar a la contabilidad, que deben ser tenidos en cuenta a la hora de realizar el ajuste.</w:t>
      </w:r>
    </w:p>
    <w:p>
      <w:pPr>
        <w:pStyle w:val="BodyText"/>
        <w:rPr>
          <w:sz w:val="20"/>
        </w:rPr>
      </w:pPr>
    </w:p>
    <w:p>
      <w:pPr>
        <w:pStyle w:val="BodyText"/>
        <w:spacing w:before="2"/>
        <w:rPr>
          <w:sz w:val="14"/>
        </w:rPr>
      </w:pPr>
    </w:p>
    <w:tbl>
      <w:tblPr>
        <w:tblW w:w="0" w:type="auto"/>
        <w:jc w:val="left"/>
        <w:tblInd w:w="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7"/>
        <w:gridCol w:w="1485"/>
        <w:gridCol w:w="1336"/>
        <w:gridCol w:w="1275"/>
        <w:gridCol w:w="1467"/>
        <w:gridCol w:w="1634"/>
      </w:tblGrid>
      <w:tr>
        <w:trPr>
          <w:trHeight w:val="287" w:hRule="atLeast"/>
        </w:trPr>
        <w:tc>
          <w:tcPr>
            <w:tcW w:w="1857" w:type="dxa"/>
            <w:vMerge w:val="restart"/>
            <w:shd w:val="clear" w:color="auto" w:fill="DDD9C3"/>
          </w:tcPr>
          <w:p>
            <w:pPr>
              <w:pStyle w:val="TableParagraph"/>
              <w:spacing w:line="240" w:lineRule="auto" w:before="0"/>
              <w:rPr>
                <w:sz w:val="16"/>
              </w:rPr>
            </w:pPr>
          </w:p>
          <w:p>
            <w:pPr>
              <w:pStyle w:val="TableParagraph"/>
              <w:spacing w:line="240" w:lineRule="auto"/>
              <w:rPr>
                <w:sz w:val="22"/>
              </w:rPr>
            </w:pPr>
          </w:p>
          <w:p>
            <w:pPr>
              <w:pStyle w:val="TableParagraph"/>
              <w:spacing w:before="0"/>
              <w:ind w:left="64"/>
              <w:rPr>
                <w:sz w:val="14"/>
              </w:rPr>
            </w:pPr>
            <w:r>
              <w:rPr>
                <w:w w:val="105"/>
                <w:sz w:val="14"/>
              </w:rPr>
              <w:t>Año</w:t>
            </w:r>
          </w:p>
        </w:tc>
        <w:tc>
          <w:tcPr>
            <w:tcW w:w="2821" w:type="dxa"/>
            <w:gridSpan w:val="2"/>
            <w:shd w:val="clear" w:color="auto" w:fill="DDD9C3"/>
          </w:tcPr>
          <w:p>
            <w:pPr>
              <w:pStyle w:val="TableParagraph"/>
              <w:spacing w:before="132"/>
              <w:ind w:left="1124" w:right="1107"/>
              <w:jc w:val="center"/>
              <w:rPr>
                <w:sz w:val="14"/>
              </w:rPr>
            </w:pPr>
            <w:r>
              <w:rPr>
                <w:w w:val="105"/>
                <w:sz w:val="14"/>
              </w:rPr>
              <w:t>Cuenta</w:t>
            </w:r>
          </w:p>
        </w:tc>
        <w:tc>
          <w:tcPr>
            <w:tcW w:w="4376" w:type="dxa"/>
            <w:gridSpan w:val="3"/>
            <w:shd w:val="clear" w:color="auto" w:fill="DDD9C3"/>
          </w:tcPr>
          <w:p>
            <w:pPr>
              <w:pStyle w:val="TableParagraph"/>
              <w:spacing w:before="132"/>
              <w:ind w:left="64"/>
              <w:rPr>
                <w:sz w:val="14"/>
              </w:rPr>
            </w:pPr>
            <w:r>
              <w:rPr>
                <w:w w:val="105"/>
                <w:sz w:val="14"/>
              </w:rPr>
              <w:t>AJUSTES</w:t>
            </w:r>
          </w:p>
        </w:tc>
      </w:tr>
      <w:tr>
        <w:trPr>
          <w:trHeight w:val="286" w:hRule="atLeast"/>
        </w:trPr>
        <w:tc>
          <w:tcPr>
            <w:tcW w:w="1857" w:type="dxa"/>
            <w:vMerge/>
            <w:tcBorders>
              <w:top w:val="nil"/>
            </w:tcBorders>
            <w:shd w:val="clear" w:color="auto" w:fill="DDD9C3"/>
          </w:tcPr>
          <w:p>
            <w:pPr>
              <w:rPr>
                <w:sz w:val="2"/>
                <w:szCs w:val="2"/>
              </w:rPr>
            </w:pPr>
          </w:p>
        </w:tc>
        <w:tc>
          <w:tcPr>
            <w:tcW w:w="1485" w:type="dxa"/>
            <w:shd w:val="clear" w:color="auto" w:fill="DDD9C3"/>
          </w:tcPr>
          <w:p>
            <w:pPr>
              <w:pStyle w:val="TableParagraph"/>
              <w:spacing w:before="131"/>
              <w:ind w:left="64"/>
              <w:rPr>
                <w:sz w:val="14"/>
              </w:rPr>
            </w:pPr>
            <w:r>
              <w:rPr>
                <w:w w:val="105"/>
                <w:sz w:val="14"/>
              </w:rPr>
              <w:t>Saldo inicial</w:t>
            </w:r>
          </w:p>
        </w:tc>
        <w:tc>
          <w:tcPr>
            <w:tcW w:w="1336" w:type="dxa"/>
            <w:shd w:val="clear" w:color="auto" w:fill="DDD9C3"/>
          </w:tcPr>
          <w:p>
            <w:pPr>
              <w:pStyle w:val="TableParagraph"/>
              <w:spacing w:before="131"/>
              <w:ind w:left="64"/>
              <w:rPr>
                <w:sz w:val="14"/>
              </w:rPr>
            </w:pPr>
            <w:r>
              <w:rPr>
                <w:w w:val="105"/>
                <w:sz w:val="14"/>
              </w:rPr>
              <w:t>Saldo final</w:t>
            </w:r>
          </w:p>
        </w:tc>
        <w:tc>
          <w:tcPr>
            <w:tcW w:w="1275" w:type="dxa"/>
            <w:shd w:val="clear" w:color="auto" w:fill="DDD9C3"/>
          </w:tcPr>
          <w:p>
            <w:pPr>
              <w:pStyle w:val="TableParagraph"/>
              <w:spacing w:before="131"/>
              <w:ind w:left="64"/>
              <w:rPr>
                <w:sz w:val="14"/>
              </w:rPr>
            </w:pPr>
            <w:r>
              <w:rPr>
                <w:w w:val="105"/>
                <w:sz w:val="14"/>
              </w:rPr>
              <w:t>Negativo</w:t>
            </w:r>
          </w:p>
        </w:tc>
        <w:tc>
          <w:tcPr>
            <w:tcW w:w="1467" w:type="dxa"/>
            <w:shd w:val="clear" w:color="auto" w:fill="DDD9C3"/>
          </w:tcPr>
          <w:p>
            <w:pPr>
              <w:pStyle w:val="TableParagraph"/>
              <w:spacing w:before="131"/>
              <w:ind w:left="63"/>
              <w:rPr>
                <w:sz w:val="14"/>
              </w:rPr>
            </w:pPr>
            <w:r>
              <w:rPr>
                <w:w w:val="105"/>
                <w:sz w:val="14"/>
              </w:rPr>
              <w:t>Positivo</w:t>
            </w:r>
          </w:p>
        </w:tc>
        <w:tc>
          <w:tcPr>
            <w:tcW w:w="1634" w:type="dxa"/>
            <w:shd w:val="clear" w:color="auto" w:fill="DDD9C3"/>
          </w:tcPr>
          <w:p>
            <w:pPr>
              <w:pStyle w:val="TableParagraph"/>
              <w:spacing w:before="131"/>
              <w:ind w:left="64"/>
              <w:rPr>
                <w:sz w:val="14"/>
              </w:rPr>
            </w:pPr>
            <w:r>
              <w:rPr>
                <w:w w:val="105"/>
                <w:sz w:val="14"/>
              </w:rPr>
              <w:t>TOTAL</w:t>
            </w:r>
          </w:p>
        </w:tc>
      </w:tr>
      <w:tr>
        <w:trPr>
          <w:trHeight w:val="287" w:hRule="atLeast"/>
        </w:trPr>
        <w:tc>
          <w:tcPr>
            <w:tcW w:w="1857" w:type="dxa"/>
            <w:tcBorders>
              <w:bottom w:val="single" w:sz="4" w:space="0" w:color="000000"/>
            </w:tcBorders>
          </w:tcPr>
          <w:p>
            <w:pPr>
              <w:pStyle w:val="TableParagraph"/>
              <w:spacing w:before="131"/>
              <w:ind w:left="465" w:right="448"/>
              <w:jc w:val="center"/>
              <w:rPr>
                <w:sz w:val="14"/>
              </w:rPr>
            </w:pPr>
            <w:r>
              <w:rPr>
                <w:w w:val="105"/>
                <w:sz w:val="14"/>
              </w:rPr>
              <w:t>Cuenta 413</w:t>
            </w:r>
          </w:p>
        </w:tc>
        <w:tc>
          <w:tcPr>
            <w:tcW w:w="1485" w:type="dxa"/>
            <w:tcBorders>
              <w:bottom w:val="single" w:sz="4" w:space="0" w:color="000000"/>
            </w:tcBorders>
          </w:tcPr>
          <w:p>
            <w:pPr>
              <w:pStyle w:val="TableParagraph"/>
              <w:spacing w:before="131"/>
              <w:ind w:right="40"/>
              <w:jc w:val="right"/>
              <w:rPr>
                <w:sz w:val="14"/>
              </w:rPr>
            </w:pPr>
            <w:r>
              <w:rPr>
                <w:sz w:val="14"/>
              </w:rPr>
              <w:t>0,00</w:t>
            </w:r>
          </w:p>
        </w:tc>
        <w:tc>
          <w:tcPr>
            <w:tcW w:w="1336" w:type="dxa"/>
            <w:tcBorders>
              <w:bottom w:val="single" w:sz="4" w:space="0" w:color="000000"/>
            </w:tcBorders>
          </w:tcPr>
          <w:p>
            <w:pPr>
              <w:pStyle w:val="TableParagraph"/>
              <w:spacing w:before="131"/>
              <w:ind w:right="40"/>
              <w:jc w:val="right"/>
              <w:rPr>
                <w:sz w:val="14"/>
              </w:rPr>
            </w:pPr>
            <w:r>
              <w:rPr>
                <w:sz w:val="14"/>
              </w:rPr>
              <w:t>15.472,43</w:t>
            </w:r>
          </w:p>
        </w:tc>
        <w:tc>
          <w:tcPr>
            <w:tcW w:w="1275" w:type="dxa"/>
            <w:tcBorders>
              <w:bottom w:val="single" w:sz="4" w:space="0" w:color="000000"/>
            </w:tcBorders>
          </w:tcPr>
          <w:p>
            <w:pPr>
              <w:pStyle w:val="TableParagraph"/>
              <w:spacing w:before="131"/>
              <w:ind w:right="41"/>
              <w:jc w:val="right"/>
              <w:rPr>
                <w:sz w:val="14"/>
              </w:rPr>
            </w:pPr>
            <w:r>
              <w:rPr>
                <w:sz w:val="14"/>
              </w:rPr>
              <w:t>0,00</w:t>
            </w:r>
          </w:p>
        </w:tc>
        <w:tc>
          <w:tcPr>
            <w:tcW w:w="1467" w:type="dxa"/>
            <w:tcBorders>
              <w:bottom w:val="single" w:sz="4" w:space="0" w:color="000000"/>
            </w:tcBorders>
          </w:tcPr>
          <w:p>
            <w:pPr>
              <w:pStyle w:val="TableParagraph"/>
              <w:spacing w:before="131"/>
              <w:ind w:right="41"/>
              <w:jc w:val="right"/>
              <w:rPr>
                <w:sz w:val="14"/>
              </w:rPr>
            </w:pPr>
            <w:r>
              <w:rPr>
                <w:sz w:val="14"/>
              </w:rPr>
              <w:t>15.472,43</w:t>
            </w:r>
          </w:p>
        </w:tc>
        <w:tc>
          <w:tcPr>
            <w:tcW w:w="1634" w:type="dxa"/>
            <w:tcBorders>
              <w:bottom w:val="single" w:sz="4" w:space="0" w:color="000000"/>
            </w:tcBorders>
          </w:tcPr>
          <w:p>
            <w:pPr>
              <w:pStyle w:val="TableParagraph"/>
              <w:spacing w:before="131"/>
              <w:ind w:right="41"/>
              <w:jc w:val="right"/>
              <w:rPr>
                <w:sz w:val="14"/>
              </w:rPr>
            </w:pPr>
            <w:r>
              <w:rPr>
                <w:sz w:val="14"/>
              </w:rPr>
              <w:t>+15.472,43</w:t>
            </w:r>
          </w:p>
        </w:tc>
      </w:tr>
      <w:tr>
        <w:trPr>
          <w:trHeight w:val="287" w:hRule="atLeast"/>
        </w:trPr>
        <w:tc>
          <w:tcPr>
            <w:tcW w:w="1857" w:type="dxa"/>
            <w:tcBorders>
              <w:top w:val="single" w:sz="4" w:space="0" w:color="000000"/>
              <w:bottom w:val="single" w:sz="4" w:space="0" w:color="000000"/>
            </w:tcBorders>
          </w:tcPr>
          <w:p>
            <w:pPr>
              <w:pStyle w:val="TableParagraph"/>
              <w:spacing w:before="132"/>
              <w:ind w:left="465" w:right="448"/>
              <w:jc w:val="center"/>
              <w:rPr>
                <w:sz w:val="14"/>
              </w:rPr>
            </w:pPr>
            <w:r>
              <w:rPr>
                <w:w w:val="105"/>
                <w:sz w:val="14"/>
              </w:rPr>
              <w:t>Cuenta 555</w:t>
            </w:r>
          </w:p>
        </w:tc>
        <w:tc>
          <w:tcPr>
            <w:tcW w:w="1485" w:type="dxa"/>
            <w:tcBorders>
              <w:top w:val="single" w:sz="4" w:space="0" w:color="000000"/>
              <w:bottom w:val="single" w:sz="4" w:space="0" w:color="000000"/>
            </w:tcBorders>
          </w:tcPr>
          <w:p>
            <w:pPr>
              <w:pStyle w:val="TableParagraph"/>
              <w:spacing w:before="132"/>
              <w:ind w:left="349"/>
              <w:rPr>
                <w:sz w:val="14"/>
              </w:rPr>
            </w:pPr>
            <w:r>
              <w:rPr>
                <w:w w:val="105"/>
                <w:sz w:val="14"/>
              </w:rPr>
              <w:t>79.976,48</w:t>
            </w:r>
          </w:p>
        </w:tc>
        <w:tc>
          <w:tcPr>
            <w:tcW w:w="1336" w:type="dxa"/>
            <w:tcBorders>
              <w:top w:val="single" w:sz="4" w:space="0" w:color="000000"/>
              <w:bottom w:val="single" w:sz="4" w:space="0" w:color="000000"/>
            </w:tcBorders>
          </w:tcPr>
          <w:p>
            <w:pPr>
              <w:pStyle w:val="TableParagraph"/>
              <w:spacing w:before="132"/>
              <w:ind w:right="40"/>
              <w:jc w:val="right"/>
              <w:rPr>
                <w:sz w:val="14"/>
              </w:rPr>
            </w:pPr>
            <w:r>
              <w:rPr>
                <w:sz w:val="14"/>
              </w:rPr>
              <w:t>90.644,27</w:t>
            </w:r>
          </w:p>
        </w:tc>
        <w:tc>
          <w:tcPr>
            <w:tcW w:w="1275" w:type="dxa"/>
            <w:tcBorders>
              <w:top w:val="single" w:sz="4" w:space="0" w:color="000000"/>
              <w:bottom w:val="single" w:sz="4" w:space="0" w:color="000000"/>
            </w:tcBorders>
          </w:tcPr>
          <w:p>
            <w:pPr>
              <w:pStyle w:val="TableParagraph"/>
              <w:spacing w:before="132"/>
              <w:ind w:right="41"/>
              <w:jc w:val="right"/>
              <w:rPr>
                <w:sz w:val="14"/>
              </w:rPr>
            </w:pPr>
            <w:r>
              <w:rPr>
                <w:sz w:val="14"/>
              </w:rPr>
              <w:t>0,00</w:t>
            </w:r>
          </w:p>
        </w:tc>
        <w:tc>
          <w:tcPr>
            <w:tcW w:w="1467" w:type="dxa"/>
            <w:tcBorders>
              <w:top w:val="single" w:sz="4" w:space="0" w:color="000000"/>
              <w:bottom w:val="single" w:sz="4" w:space="0" w:color="000000"/>
            </w:tcBorders>
          </w:tcPr>
          <w:p>
            <w:pPr>
              <w:pStyle w:val="TableParagraph"/>
              <w:spacing w:before="132"/>
              <w:ind w:right="41"/>
              <w:jc w:val="right"/>
              <w:rPr>
                <w:sz w:val="14"/>
              </w:rPr>
            </w:pPr>
            <w:r>
              <w:rPr>
                <w:sz w:val="14"/>
              </w:rPr>
              <w:t>10.667,79</w:t>
            </w:r>
          </w:p>
        </w:tc>
        <w:tc>
          <w:tcPr>
            <w:tcW w:w="1634" w:type="dxa"/>
            <w:tcBorders>
              <w:top w:val="single" w:sz="4" w:space="0" w:color="000000"/>
              <w:bottom w:val="single" w:sz="4" w:space="0" w:color="000000"/>
            </w:tcBorders>
          </w:tcPr>
          <w:p>
            <w:pPr>
              <w:pStyle w:val="TableParagraph"/>
              <w:spacing w:before="132"/>
              <w:ind w:right="41"/>
              <w:jc w:val="right"/>
              <w:rPr>
                <w:sz w:val="14"/>
              </w:rPr>
            </w:pPr>
            <w:r>
              <w:rPr>
                <w:sz w:val="14"/>
              </w:rPr>
              <w:t>+10.667,79</w:t>
            </w:r>
          </w:p>
        </w:tc>
      </w:tr>
      <w:tr>
        <w:trPr>
          <w:trHeight w:val="287" w:hRule="atLeast"/>
        </w:trPr>
        <w:tc>
          <w:tcPr>
            <w:tcW w:w="1857" w:type="dxa"/>
            <w:tcBorders>
              <w:top w:val="single" w:sz="4" w:space="0" w:color="000000"/>
            </w:tcBorders>
          </w:tcPr>
          <w:p>
            <w:pPr>
              <w:pStyle w:val="TableParagraph"/>
              <w:spacing w:before="132"/>
              <w:ind w:left="465" w:right="448"/>
              <w:jc w:val="center"/>
              <w:rPr>
                <w:sz w:val="14"/>
              </w:rPr>
            </w:pPr>
            <w:r>
              <w:rPr>
                <w:w w:val="105"/>
                <w:sz w:val="14"/>
              </w:rPr>
              <w:t>TOTAL</w:t>
            </w:r>
          </w:p>
        </w:tc>
        <w:tc>
          <w:tcPr>
            <w:tcW w:w="1485" w:type="dxa"/>
            <w:tcBorders>
              <w:top w:val="single" w:sz="4" w:space="0" w:color="000000"/>
            </w:tcBorders>
          </w:tcPr>
          <w:p>
            <w:pPr>
              <w:pStyle w:val="TableParagraph"/>
              <w:spacing w:line="240" w:lineRule="auto" w:before="0"/>
              <w:rPr>
                <w:rFonts w:ascii="Times New Roman"/>
                <w:sz w:val="14"/>
              </w:rPr>
            </w:pPr>
          </w:p>
        </w:tc>
        <w:tc>
          <w:tcPr>
            <w:tcW w:w="1336" w:type="dxa"/>
            <w:tcBorders>
              <w:top w:val="single" w:sz="4" w:space="0" w:color="000000"/>
            </w:tcBorders>
          </w:tcPr>
          <w:p>
            <w:pPr>
              <w:pStyle w:val="TableParagraph"/>
              <w:spacing w:line="240" w:lineRule="auto" w:before="0"/>
              <w:rPr>
                <w:rFonts w:ascii="Times New Roman"/>
                <w:sz w:val="14"/>
              </w:rPr>
            </w:pPr>
          </w:p>
        </w:tc>
        <w:tc>
          <w:tcPr>
            <w:tcW w:w="1275" w:type="dxa"/>
            <w:tcBorders>
              <w:top w:val="single" w:sz="4" w:space="0" w:color="000000"/>
            </w:tcBorders>
          </w:tcPr>
          <w:p>
            <w:pPr>
              <w:pStyle w:val="TableParagraph"/>
              <w:spacing w:before="132"/>
              <w:ind w:right="41"/>
              <w:jc w:val="right"/>
              <w:rPr>
                <w:sz w:val="14"/>
              </w:rPr>
            </w:pPr>
            <w:r>
              <w:rPr>
                <w:sz w:val="14"/>
              </w:rPr>
              <w:t>0,00</w:t>
            </w:r>
          </w:p>
        </w:tc>
        <w:tc>
          <w:tcPr>
            <w:tcW w:w="1467" w:type="dxa"/>
            <w:tcBorders>
              <w:top w:val="single" w:sz="4" w:space="0" w:color="000000"/>
            </w:tcBorders>
          </w:tcPr>
          <w:p>
            <w:pPr>
              <w:pStyle w:val="TableParagraph"/>
              <w:spacing w:before="132"/>
              <w:ind w:right="41"/>
              <w:jc w:val="right"/>
              <w:rPr>
                <w:sz w:val="14"/>
              </w:rPr>
            </w:pPr>
            <w:r>
              <w:rPr>
                <w:sz w:val="14"/>
              </w:rPr>
              <w:t>+26.140,22</w:t>
            </w:r>
          </w:p>
        </w:tc>
        <w:tc>
          <w:tcPr>
            <w:tcW w:w="1634" w:type="dxa"/>
            <w:tcBorders>
              <w:top w:val="single" w:sz="4" w:space="0" w:color="000000"/>
            </w:tcBorders>
          </w:tcPr>
          <w:p>
            <w:pPr>
              <w:pStyle w:val="TableParagraph"/>
              <w:spacing w:before="132"/>
              <w:ind w:right="41"/>
              <w:jc w:val="right"/>
              <w:rPr>
                <w:sz w:val="14"/>
              </w:rPr>
            </w:pPr>
            <w:r>
              <w:rPr>
                <w:sz w:val="14"/>
              </w:rPr>
              <w:t>+26.140,22</w:t>
            </w:r>
          </w:p>
        </w:tc>
      </w:tr>
    </w:tbl>
    <w:p>
      <w:pPr>
        <w:pStyle w:val="BodyText"/>
        <w:spacing w:before="10"/>
        <w:rPr>
          <w:sz w:val="16"/>
        </w:rPr>
      </w:pPr>
    </w:p>
    <w:p>
      <w:pPr>
        <w:pStyle w:val="BodyText"/>
        <w:tabs>
          <w:tab w:pos="2516" w:val="left" w:leader="none"/>
          <w:tab w:pos="4044" w:val="left" w:leader="none"/>
          <w:tab w:pos="4477" w:val="left" w:leader="none"/>
          <w:tab w:pos="5348" w:val="left" w:leader="none"/>
          <w:tab w:pos="6000" w:val="left" w:leader="none"/>
          <w:tab w:pos="6324" w:val="left" w:leader="none"/>
          <w:tab w:pos="7413" w:val="left" w:leader="none"/>
          <w:tab w:pos="7956" w:val="left" w:leader="none"/>
          <w:tab w:pos="8608" w:val="left" w:leader="none"/>
          <w:tab w:pos="9479" w:val="left" w:leader="none"/>
          <w:tab w:pos="10131" w:val="left" w:leader="none"/>
        </w:tabs>
        <w:spacing w:line="200" w:lineRule="exact"/>
        <w:ind w:left="2083"/>
      </w:pPr>
      <w:r>
        <w:rPr/>
        <w:t>En</w:t>
        <w:tab/>
        <w:t>consecuencia</w:t>
        <w:tab/>
        <w:t>el</w:t>
        <w:tab/>
        <w:t>ajuste</w:t>
        <w:tab/>
        <w:t>neto</w:t>
        <w:tab/>
        <w:t>a</w:t>
        <w:tab/>
        <w:t>realizar</w:t>
        <w:tab/>
        <w:t>por</w:t>
        <w:tab/>
        <w:t>este</w:t>
        <w:tab/>
        <w:t>motivo</w:t>
        <w:tab/>
        <w:t>será</w:t>
        <w:tab/>
        <w:t>de</w:t>
      </w:r>
    </w:p>
    <w:p>
      <w:pPr>
        <w:pStyle w:val="BodyText"/>
        <w:spacing w:line="200" w:lineRule="exact"/>
        <w:ind w:left="1435"/>
      </w:pPr>
      <w:r>
        <w:rPr/>
        <w:t>+26.140,22.- euros.</w:t>
      </w:r>
    </w:p>
    <w:p>
      <w:pPr>
        <w:pStyle w:val="BodyText"/>
        <w:spacing w:before="2"/>
        <w:rPr>
          <w:sz w:val="17"/>
        </w:rPr>
      </w:pPr>
    </w:p>
    <w:p>
      <w:pPr>
        <w:pStyle w:val="BodyText"/>
        <w:spacing w:line="232" w:lineRule="auto"/>
        <w:ind w:left="1435" w:right="792" w:firstLine="648"/>
        <w:jc w:val="both"/>
      </w:pPr>
      <w:r>
        <w:rPr/>
        <w:t>Por tanto, a la vista de todo lo anterior el cálculo de la Estabilidad Presupuestaria del Presupuesto liquidado 2020 resulta ser el siguiente:</w:t>
      </w:r>
    </w:p>
    <w:p>
      <w:pPr>
        <w:pStyle w:val="BodyText"/>
        <w:spacing w:before="4"/>
        <w:rPr>
          <w:sz w:val="17"/>
        </w:rPr>
      </w:pPr>
    </w:p>
    <w:tbl>
      <w:tblPr>
        <w:tblW w:w="0" w:type="auto"/>
        <w:jc w:val="left"/>
        <w:tblInd w:w="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3"/>
        <w:gridCol w:w="1691"/>
      </w:tblGrid>
      <w:tr>
        <w:trPr>
          <w:trHeight w:val="299" w:hRule="atLeast"/>
        </w:trPr>
        <w:tc>
          <w:tcPr>
            <w:tcW w:w="7363" w:type="dxa"/>
            <w:shd w:val="clear" w:color="auto" w:fill="DDD9C3"/>
          </w:tcPr>
          <w:p>
            <w:pPr>
              <w:pStyle w:val="TableParagraph"/>
              <w:spacing w:line="139" w:lineRule="exact" w:before="141"/>
              <w:ind w:left="64"/>
              <w:rPr>
                <w:b/>
                <w:sz w:val="14"/>
              </w:rPr>
            </w:pPr>
            <w:r>
              <w:rPr>
                <w:b/>
                <w:w w:val="105"/>
                <w:sz w:val="14"/>
              </w:rPr>
              <w:t>CONCEPTOS</w:t>
            </w:r>
          </w:p>
        </w:tc>
        <w:tc>
          <w:tcPr>
            <w:tcW w:w="1691" w:type="dxa"/>
            <w:shd w:val="clear" w:color="auto" w:fill="DDD9C3"/>
          </w:tcPr>
          <w:p>
            <w:pPr>
              <w:pStyle w:val="TableParagraph"/>
              <w:spacing w:line="139" w:lineRule="exact" w:before="141"/>
              <w:ind w:left="493"/>
              <w:rPr>
                <w:b/>
                <w:sz w:val="14"/>
              </w:rPr>
            </w:pPr>
            <w:r>
              <w:rPr>
                <w:b/>
                <w:w w:val="105"/>
                <w:sz w:val="14"/>
              </w:rPr>
              <w:t>IMPORTES</w:t>
            </w:r>
          </w:p>
        </w:tc>
      </w:tr>
      <w:tr>
        <w:trPr>
          <w:trHeight w:val="299" w:hRule="atLeast"/>
        </w:trPr>
        <w:tc>
          <w:tcPr>
            <w:tcW w:w="7363" w:type="dxa"/>
          </w:tcPr>
          <w:p>
            <w:pPr>
              <w:pStyle w:val="TableParagraph"/>
              <w:spacing w:line="240" w:lineRule="auto"/>
              <w:rPr>
                <w:sz w:val="12"/>
              </w:rPr>
            </w:pPr>
          </w:p>
          <w:p>
            <w:pPr>
              <w:pStyle w:val="TableParagraph"/>
              <w:spacing w:before="1"/>
              <w:ind w:left="64"/>
              <w:rPr>
                <w:sz w:val="14"/>
              </w:rPr>
            </w:pPr>
            <w:r>
              <w:rPr>
                <w:w w:val="105"/>
                <w:sz w:val="14"/>
              </w:rPr>
              <w:t>a) Derechos R. Netos capítulos. I-VII presupuesto liquidado 2018</w:t>
            </w:r>
          </w:p>
        </w:tc>
        <w:tc>
          <w:tcPr>
            <w:tcW w:w="1691" w:type="dxa"/>
          </w:tcPr>
          <w:p>
            <w:pPr>
              <w:pStyle w:val="TableParagraph"/>
              <w:spacing w:line="240" w:lineRule="auto"/>
              <w:rPr>
                <w:sz w:val="12"/>
              </w:rPr>
            </w:pPr>
          </w:p>
          <w:p>
            <w:pPr>
              <w:pStyle w:val="TableParagraph"/>
              <w:spacing w:before="1"/>
              <w:ind w:right="41"/>
              <w:jc w:val="right"/>
              <w:rPr>
                <w:sz w:val="14"/>
              </w:rPr>
            </w:pPr>
            <w:r>
              <w:rPr>
                <w:sz w:val="14"/>
              </w:rPr>
              <w:t>21.978.073,94</w:t>
            </w:r>
          </w:p>
        </w:tc>
      </w:tr>
      <w:tr>
        <w:trPr>
          <w:trHeight w:val="299" w:hRule="atLeast"/>
        </w:trPr>
        <w:tc>
          <w:tcPr>
            <w:tcW w:w="7363" w:type="dxa"/>
          </w:tcPr>
          <w:p>
            <w:pPr>
              <w:pStyle w:val="TableParagraph"/>
              <w:spacing w:line="240" w:lineRule="auto"/>
              <w:rPr>
                <w:sz w:val="12"/>
              </w:rPr>
            </w:pPr>
          </w:p>
          <w:p>
            <w:pPr>
              <w:pStyle w:val="TableParagraph"/>
              <w:spacing w:before="1"/>
              <w:ind w:left="64"/>
              <w:rPr>
                <w:sz w:val="14"/>
              </w:rPr>
            </w:pPr>
            <w:r>
              <w:rPr>
                <w:w w:val="105"/>
                <w:sz w:val="14"/>
              </w:rPr>
              <w:t>b) Obligaciones R. Netas capítulos I-VII presupuesto liquidado 2018</w:t>
            </w:r>
          </w:p>
        </w:tc>
        <w:tc>
          <w:tcPr>
            <w:tcW w:w="1691" w:type="dxa"/>
          </w:tcPr>
          <w:p>
            <w:pPr>
              <w:pStyle w:val="TableParagraph"/>
              <w:spacing w:line="240" w:lineRule="auto"/>
              <w:rPr>
                <w:sz w:val="12"/>
              </w:rPr>
            </w:pPr>
          </w:p>
          <w:p>
            <w:pPr>
              <w:pStyle w:val="TableParagraph"/>
              <w:spacing w:before="1"/>
              <w:ind w:right="41"/>
              <w:jc w:val="right"/>
              <w:rPr>
                <w:sz w:val="14"/>
              </w:rPr>
            </w:pPr>
            <w:r>
              <w:rPr>
                <w:sz w:val="14"/>
              </w:rPr>
              <w:t>21.224.901,62</w:t>
            </w:r>
          </w:p>
        </w:tc>
      </w:tr>
      <w:tr>
        <w:trPr>
          <w:trHeight w:val="299" w:hRule="atLeast"/>
        </w:trPr>
        <w:tc>
          <w:tcPr>
            <w:tcW w:w="7363" w:type="dxa"/>
            <w:shd w:val="clear" w:color="auto" w:fill="DDD9C3"/>
          </w:tcPr>
          <w:p>
            <w:pPr>
              <w:pStyle w:val="TableParagraph"/>
              <w:spacing w:line="139" w:lineRule="exact" w:before="140"/>
              <w:ind w:left="64"/>
              <w:rPr>
                <w:b/>
                <w:sz w:val="14"/>
              </w:rPr>
            </w:pPr>
            <w:r>
              <w:rPr>
                <w:b/>
                <w:w w:val="105"/>
                <w:sz w:val="14"/>
              </w:rPr>
              <w:t>TOTAL (a – b)</w:t>
            </w:r>
          </w:p>
        </w:tc>
        <w:tc>
          <w:tcPr>
            <w:tcW w:w="1691" w:type="dxa"/>
            <w:shd w:val="clear" w:color="auto" w:fill="DDD9C3"/>
          </w:tcPr>
          <w:p>
            <w:pPr>
              <w:pStyle w:val="TableParagraph"/>
              <w:spacing w:line="139" w:lineRule="exact" w:before="140"/>
              <w:ind w:right="41"/>
              <w:jc w:val="right"/>
              <w:rPr>
                <w:b/>
                <w:sz w:val="14"/>
              </w:rPr>
            </w:pPr>
            <w:r>
              <w:rPr>
                <w:b/>
                <w:sz w:val="14"/>
              </w:rPr>
              <w:t>753.172,32</w:t>
            </w:r>
          </w:p>
        </w:tc>
      </w:tr>
      <w:tr>
        <w:trPr>
          <w:trHeight w:val="300" w:hRule="atLeast"/>
        </w:trPr>
        <w:tc>
          <w:tcPr>
            <w:tcW w:w="7363" w:type="dxa"/>
          </w:tcPr>
          <w:p>
            <w:pPr>
              <w:pStyle w:val="TableParagraph"/>
              <w:spacing w:line="140" w:lineRule="exact" w:before="140"/>
              <w:ind w:left="64"/>
              <w:rPr>
                <w:b/>
                <w:sz w:val="14"/>
              </w:rPr>
            </w:pPr>
            <w:r>
              <w:rPr>
                <w:b/>
                <w:w w:val="105"/>
                <w:sz w:val="14"/>
              </w:rPr>
              <w:t>AJUSTES</w:t>
            </w:r>
          </w:p>
        </w:tc>
        <w:tc>
          <w:tcPr>
            <w:tcW w:w="1691" w:type="dxa"/>
          </w:tcPr>
          <w:p>
            <w:pPr>
              <w:pStyle w:val="TableParagraph"/>
              <w:spacing w:line="240" w:lineRule="auto" w:before="0"/>
              <w:rPr>
                <w:rFonts w:ascii="Times New Roman"/>
                <w:sz w:val="14"/>
              </w:rPr>
            </w:pPr>
          </w:p>
        </w:tc>
      </w:tr>
      <w:tr>
        <w:trPr>
          <w:trHeight w:val="299" w:hRule="atLeast"/>
        </w:trPr>
        <w:tc>
          <w:tcPr>
            <w:tcW w:w="7363" w:type="dxa"/>
          </w:tcPr>
          <w:p>
            <w:pPr>
              <w:pStyle w:val="TableParagraph"/>
              <w:spacing w:line="240" w:lineRule="auto"/>
              <w:rPr>
                <w:sz w:val="12"/>
              </w:rPr>
            </w:pPr>
          </w:p>
          <w:p>
            <w:pPr>
              <w:pStyle w:val="TableParagraph"/>
              <w:spacing w:before="1"/>
              <w:ind w:left="64"/>
              <w:rPr>
                <w:sz w:val="14"/>
              </w:rPr>
            </w:pPr>
            <w:r>
              <w:rPr>
                <w:w w:val="105"/>
                <w:sz w:val="14"/>
              </w:rPr>
              <w:t>1) Ajustes recaudación capítulo 1</w:t>
            </w:r>
          </w:p>
        </w:tc>
        <w:tc>
          <w:tcPr>
            <w:tcW w:w="1691" w:type="dxa"/>
          </w:tcPr>
          <w:p>
            <w:pPr>
              <w:pStyle w:val="TableParagraph"/>
              <w:spacing w:line="240" w:lineRule="auto"/>
              <w:rPr>
                <w:sz w:val="12"/>
              </w:rPr>
            </w:pPr>
          </w:p>
          <w:p>
            <w:pPr>
              <w:pStyle w:val="TableParagraph"/>
              <w:spacing w:before="1"/>
              <w:ind w:right="41"/>
              <w:jc w:val="right"/>
              <w:rPr>
                <w:sz w:val="14"/>
              </w:rPr>
            </w:pPr>
            <w:r>
              <w:rPr>
                <w:sz w:val="14"/>
              </w:rPr>
              <w:t>-183.895,01</w:t>
            </w:r>
          </w:p>
        </w:tc>
      </w:tr>
      <w:tr>
        <w:trPr>
          <w:trHeight w:val="299" w:hRule="atLeast"/>
        </w:trPr>
        <w:tc>
          <w:tcPr>
            <w:tcW w:w="7363" w:type="dxa"/>
          </w:tcPr>
          <w:p>
            <w:pPr>
              <w:pStyle w:val="TableParagraph"/>
              <w:spacing w:line="240" w:lineRule="auto"/>
              <w:rPr>
                <w:sz w:val="12"/>
              </w:rPr>
            </w:pPr>
          </w:p>
          <w:p>
            <w:pPr>
              <w:pStyle w:val="TableParagraph"/>
              <w:spacing w:before="1"/>
              <w:ind w:left="64"/>
              <w:rPr>
                <w:sz w:val="14"/>
              </w:rPr>
            </w:pPr>
            <w:r>
              <w:rPr>
                <w:w w:val="105"/>
                <w:sz w:val="14"/>
              </w:rPr>
              <w:t>2) Ajustes recaudación capítulo 2</w:t>
            </w:r>
          </w:p>
        </w:tc>
        <w:tc>
          <w:tcPr>
            <w:tcW w:w="1691" w:type="dxa"/>
          </w:tcPr>
          <w:p>
            <w:pPr>
              <w:pStyle w:val="TableParagraph"/>
              <w:spacing w:line="240" w:lineRule="auto"/>
              <w:rPr>
                <w:sz w:val="12"/>
              </w:rPr>
            </w:pPr>
          </w:p>
          <w:p>
            <w:pPr>
              <w:pStyle w:val="TableParagraph"/>
              <w:spacing w:before="1"/>
              <w:ind w:right="41"/>
              <w:jc w:val="right"/>
              <w:rPr>
                <w:sz w:val="14"/>
              </w:rPr>
            </w:pPr>
            <w:r>
              <w:rPr>
                <w:sz w:val="14"/>
              </w:rPr>
              <w:t>10.756,02</w:t>
            </w:r>
          </w:p>
        </w:tc>
      </w:tr>
      <w:tr>
        <w:trPr>
          <w:trHeight w:val="299" w:hRule="atLeast"/>
        </w:trPr>
        <w:tc>
          <w:tcPr>
            <w:tcW w:w="7363" w:type="dxa"/>
          </w:tcPr>
          <w:p>
            <w:pPr>
              <w:pStyle w:val="TableParagraph"/>
              <w:spacing w:line="240" w:lineRule="auto"/>
              <w:rPr>
                <w:sz w:val="12"/>
              </w:rPr>
            </w:pPr>
          </w:p>
          <w:p>
            <w:pPr>
              <w:pStyle w:val="TableParagraph"/>
              <w:spacing w:before="1"/>
              <w:ind w:left="64"/>
              <w:rPr>
                <w:sz w:val="14"/>
              </w:rPr>
            </w:pPr>
            <w:r>
              <w:rPr>
                <w:w w:val="105"/>
                <w:sz w:val="14"/>
              </w:rPr>
              <w:t>3) Ajustes recaudación capítulo 3</w:t>
            </w:r>
          </w:p>
        </w:tc>
        <w:tc>
          <w:tcPr>
            <w:tcW w:w="1691" w:type="dxa"/>
          </w:tcPr>
          <w:p>
            <w:pPr>
              <w:pStyle w:val="TableParagraph"/>
              <w:spacing w:line="240" w:lineRule="auto"/>
              <w:rPr>
                <w:sz w:val="12"/>
              </w:rPr>
            </w:pPr>
          </w:p>
          <w:p>
            <w:pPr>
              <w:pStyle w:val="TableParagraph"/>
              <w:spacing w:before="1"/>
              <w:ind w:right="41"/>
              <w:jc w:val="right"/>
              <w:rPr>
                <w:sz w:val="14"/>
              </w:rPr>
            </w:pPr>
            <w:r>
              <w:rPr>
                <w:sz w:val="14"/>
              </w:rPr>
              <w:t>-251.889,49</w:t>
            </w:r>
          </w:p>
        </w:tc>
      </w:tr>
      <w:tr>
        <w:trPr>
          <w:trHeight w:val="299" w:hRule="atLeast"/>
        </w:trPr>
        <w:tc>
          <w:tcPr>
            <w:tcW w:w="7363" w:type="dxa"/>
          </w:tcPr>
          <w:p>
            <w:pPr>
              <w:pStyle w:val="TableParagraph"/>
              <w:spacing w:line="240" w:lineRule="auto"/>
              <w:rPr>
                <w:sz w:val="12"/>
              </w:rPr>
            </w:pPr>
          </w:p>
          <w:p>
            <w:pPr>
              <w:pStyle w:val="TableParagraph"/>
              <w:spacing w:before="1"/>
              <w:ind w:left="64"/>
              <w:rPr>
                <w:sz w:val="14"/>
              </w:rPr>
            </w:pPr>
            <w:r>
              <w:rPr>
                <w:w w:val="105"/>
                <w:sz w:val="14"/>
              </w:rPr>
              <w:t>4) Ajuste por liquidación PIE-2008</w:t>
            </w:r>
          </w:p>
        </w:tc>
        <w:tc>
          <w:tcPr>
            <w:tcW w:w="1691" w:type="dxa"/>
          </w:tcPr>
          <w:p>
            <w:pPr>
              <w:pStyle w:val="TableParagraph"/>
              <w:spacing w:line="240" w:lineRule="auto"/>
              <w:rPr>
                <w:sz w:val="12"/>
              </w:rPr>
            </w:pPr>
          </w:p>
          <w:p>
            <w:pPr>
              <w:pStyle w:val="TableParagraph"/>
              <w:spacing w:before="1"/>
              <w:ind w:right="41"/>
              <w:jc w:val="right"/>
              <w:rPr>
                <w:sz w:val="14"/>
              </w:rPr>
            </w:pPr>
            <w:r>
              <w:rPr>
                <w:sz w:val="14"/>
              </w:rPr>
              <w:t>30.404,40</w:t>
            </w:r>
          </w:p>
        </w:tc>
      </w:tr>
      <w:tr>
        <w:trPr>
          <w:trHeight w:val="299" w:hRule="atLeast"/>
        </w:trPr>
        <w:tc>
          <w:tcPr>
            <w:tcW w:w="7363" w:type="dxa"/>
          </w:tcPr>
          <w:p>
            <w:pPr>
              <w:pStyle w:val="TableParagraph"/>
              <w:spacing w:line="240" w:lineRule="auto" w:before="9"/>
              <w:rPr>
                <w:sz w:val="12"/>
              </w:rPr>
            </w:pPr>
          </w:p>
          <w:p>
            <w:pPr>
              <w:pStyle w:val="TableParagraph"/>
              <w:spacing w:before="0"/>
              <w:ind w:left="64"/>
              <w:rPr>
                <w:sz w:val="14"/>
              </w:rPr>
            </w:pPr>
            <w:r>
              <w:rPr>
                <w:w w:val="105"/>
                <w:sz w:val="14"/>
              </w:rPr>
              <w:t>5) Ajuste por liquidación PIE-2009/2016</w:t>
            </w:r>
          </w:p>
        </w:tc>
        <w:tc>
          <w:tcPr>
            <w:tcW w:w="1691" w:type="dxa"/>
          </w:tcPr>
          <w:p>
            <w:pPr>
              <w:pStyle w:val="TableParagraph"/>
              <w:spacing w:line="240" w:lineRule="auto" w:before="9"/>
              <w:rPr>
                <w:sz w:val="12"/>
              </w:rPr>
            </w:pPr>
          </w:p>
          <w:p>
            <w:pPr>
              <w:pStyle w:val="TableParagraph"/>
              <w:spacing w:before="0"/>
              <w:ind w:right="41"/>
              <w:jc w:val="right"/>
              <w:rPr>
                <w:sz w:val="14"/>
              </w:rPr>
            </w:pPr>
            <w:r>
              <w:rPr>
                <w:sz w:val="14"/>
              </w:rPr>
              <w:t>70.124,16</w:t>
            </w:r>
          </w:p>
        </w:tc>
      </w:tr>
      <w:tr>
        <w:trPr>
          <w:trHeight w:val="299" w:hRule="atLeast"/>
        </w:trPr>
        <w:tc>
          <w:tcPr>
            <w:tcW w:w="7363" w:type="dxa"/>
          </w:tcPr>
          <w:p>
            <w:pPr>
              <w:pStyle w:val="TableParagraph"/>
              <w:spacing w:line="240" w:lineRule="auto"/>
              <w:rPr>
                <w:sz w:val="12"/>
              </w:rPr>
            </w:pPr>
          </w:p>
          <w:p>
            <w:pPr>
              <w:pStyle w:val="TableParagraph"/>
              <w:spacing w:before="1"/>
              <w:ind w:left="64"/>
              <w:rPr>
                <w:sz w:val="14"/>
              </w:rPr>
            </w:pPr>
            <w:r>
              <w:rPr>
                <w:w w:val="105"/>
                <w:sz w:val="14"/>
              </w:rPr>
              <w:t>6) Ajuste por gastos pendientes de aplicar a presupuesto</w:t>
            </w:r>
          </w:p>
        </w:tc>
        <w:tc>
          <w:tcPr>
            <w:tcW w:w="1691" w:type="dxa"/>
          </w:tcPr>
          <w:p>
            <w:pPr>
              <w:pStyle w:val="TableParagraph"/>
              <w:spacing w:line="240" w:lineRule="auto"/>
              <w:rPr>
                <w:sz w:val="12"/>
              </w:rPr>
            </w:pPr>
          </w:p>
          <w:p>
            <w:pPr>
              <w:pStyle w:val="TableParagraph"/>
              <w:spacing w:before="1"/>
              <w:ind w:right="41"/>
              <w:jc w:val="right"/>
              <w:rPr>
                <w:sz w:val="14"/>
              </w:rPr>
            </w:pPr>
            <w:r>
              <w:rPr>
                <w:sz w:val="14"/>
              </w:rPr>
              <w:t>+26.140,22</w:t>
            </w:r>
          </w:p>
        </w:tc>
      </w:tr>
      <w:tr>
        <w:trPr>
          <w:trHeight w:val="299" w:hRule="atLeast"/>
        </w:trPr>
        <w:tc>
          <w:tcPr>
            <w:tcW w:w="7363" w:type="dxa"/>
            <w:shd w:val="clear" w:color="auto" w:fill="DDD9C3"/>
          </w:tcPr>
          <w:p>
            <w:pPr>
              <w:pStyle w:val="TableParagraph"/>
              <w:spacing w:line="139" w:lineRule="exact" w:before="140"/>
              <w:ind w:left="64"/>
              <w:rPr>
                <w:sz w:val="14"/>
              </w:rPr>
            </w:pPr>
            <w:r>
              <w:rPr>
                <w:b/>
                <w:w w:val="105"/>
                <w:sz w:val="14"/>
              </w:rPr>
              <w:t>c) TOTAL INGRESOS AJUSTADOS </w:t>
            </w:r>
            <w:r>
              <w:rPr>
                <w:w w:val="105"/>
                <w:sz w:val="14"/>
              </w:rPr>
              <w:t>(a + 1, 2, 3, 4, 5)</w:t>
            </w:r>
          </w:p>
        </w:tc>
        <w:tc>
          <w:tcPr>
            <w:tcW w:w="1691" w:type="dxa"/>
            <w:shd w:val="clear" w:color="auto" w:fill="DDD9C3"/>
          </w:tcPr>
          <w:p>
            <w:pPr>
              <w:pStyle w:val="TableParagraph"/>
              <w:spacing w:line="139" w:lineRule="exact" w:before="140"/>
              <w:ind w:right="41"/>
              <w:jc w:val="right"/>
              <w:rPr>
                <w:b/>
                <w:sz w:val="14"/>
              </w:rPr>
            </w:pPr>
            <w:r>
              <w:rPr>
                <w:b/>
                <w:sz w:val="14"/>
              </w:rPr>
              <w:t>21.653.574,02</w:t>
            </w:r>
          </w:p>
        </w:tc>
      </w:tr>
      <w:tr>
        <w:trPr>
          <w:trHeight w:val="299" w:hRule="atLeast"/>
        </w:trPr>
        <w:tc>
          <w:tcPr>
            <w:tcW w:w="7363" w:type="dxa"/>
            <w:shd w:val="clear" w:color="auto" w:fill="DDD9C3"/>
          </w:tcPr>
          <w:p>
            <w:pPr>
              <w:pStyle w:val="TableParagraph"/>
              <w:spacing w:line="139" w:lineRule="exact" w:before="140"/>
              <w:ind w:left="64"/>
              <w:rPr>
                <w:sz w:val="14"/>
              </w:rPr>
            </w:pPr>
            <w:r>
              <w:rPr>
                <w:b/>
                <w:w w:val="105"/>
                <w:sz w:val="14"/>
              </w:rPr>
              <w:t>d) TOTAL GASTOS AJUSTADOS </w:t>
            </w:r>
            <w:r>
              <w:rPr>
                <w:w w:val="105"/>
                <w:sz w:val="14"/>
              </w:rPr>
              <w:t>(b - 6)</w:t>
            </w:r>
          </w:p>
        </w:tc>
        <w:tc>
          <w:tcPr>
            <w:tcW w:w="1691" w:type="dxa"/>
            <w:shd w:val="clear" w:color="auto" w:fill="DDD9C3"/>
          </w:tcPr>
          <w:p>
            <w:pPr>
              <w:pStyle w:val="TableParagraph"/>
              <w:spacing w:line="139" w:lineRule="exact" w:before="140"/>
              <w:ind w:right="41"/>
              <w:jc w:val="right"/>
              <w:rPr>
                <w:b/>
                <w:sz w:val="14"/>
              </w:rPr>
            </w:pPr>
            <w:r>
              <w:rPr>
                <w:b/>
                <w:sz w:val="14"/>
              </w:rPr>
              <w:t>21.251.041,84</w:t>
            </w:r>
          </w:p>
        </w:tc>
      </w:tr>
      <w:tr>
        <w:trPr>
          <w:trHeight w:val="299" w:hRule="atLeast"/>
        </w:trPr>
        <w:tc>
          <w:tcPr>
            <w:tcW w:w="7363" w:type="dxa"/>
            <w:shd w:val="clear" w:color="auto" w:fill="DDD9C3"/>
          </w:tcPr>
          <w:p>
            <w:pPr>
              <w:pStyle w:val="TableParagraph"/>
              <w:spacing w:line="139" w:lineRule="exact" w:before="140"/>
              <w:ind w:left="64"/>
              <w:rPr>
                <w:b/>
                <w:sz w:val="14"/>
              </w:rPr>
            </w:pPr>
            <w:r>
              <w:rPr>
                <w:b/>
                <w:w w:val="105"/>
                <w:sz w:val="14"/>
              </w:rPr>
              <w:t>e) TOTAL CAPACIDAD/NECESIDAD DE FINANCIACIÓN (c - d)</w:t>
            </w:r>
          </w:p>
        </w:tc>
        <w:tc>
          <w:tcPr>
            <w:tcW w:w="1691" w:type="dxa"/>
            <w:shd w:val="clear" w:color="auto" w:fill="DDD9C3"/>
          </w:tcPr>
          <w:p>
            <w:pPr>
              <w:pStyle w:val="TableParagraph"/>
              <w:spacing w:line="139" w:lineRule="exact" w:before="140"/>
              <w:ind w:right="41"/>
              <w:jc w:val="right"/>
              <w:rPr>
                <w:b/>
                <w:sz w:val="14"/>
              </w:rPr>
            </w:pPr>
            <w:r>
              <w:rPr>
                <w:b/>
                <w:sz w:val="14"/>
              </w:rPr>
              <w:t>402.532,18</w:t>
            </w:r>
          </w:p>
        </w:tc>
      </w:tr>
      <w:tr>
        <w:trPr>
          <w:trHeight w:val="300" w:hRule="atLeast"/>
        </w:trPr>
        <w:tc>
          <w:tcPr>
            <w:tcW w:w="7363" w:type="dxa"/>
          </w:tcPr>
          <w:p>
            <w:pPr>
              <w:pStyle w:val="TableParagraph"/>
              <w:spacing w:line="139" w:lineRule="exact" w:before="141"/>
              <w:ind w:left="64"/>
              <w:rPr>
                <w:b/>
                <w:sz w:val="14"/>
              </w:rPr>
            </w:pPr>
            <w:r>
              <w:rPr>
                <w:b/>
                <w:w w:val="105"/>
                <w:sz w:val="14"/>
              </w:rPr>
              <w:t>En porcentaje sobre los ingresos no financieros ajustados (</w:t>
            </w:r>
            <w:r>
              <w:rPr>
                <w:w w:val="105"/>
                <w:sz w:val="14"/>
              </w:rPr>
              <w:t>e/c </w:t>
            </w:r>
            <w:r>
              <w:rPr>
                <w:b/>
                <w:w w:val="105"/>
                <w:sz w:val="14"/>
              </w:rPr>
              <w:t>)</w:t>
            </w:r>
          </w:p>
        </w:tc>
        <w:tc>
          <w:tcPr>
            <w:tcW w:w="1691" w:type="dxa"/>
          </w:tcPr>
          <w:p>
            <w:pPr>
              <w:pStyle w:val="TableParagraph"/>
              <w:spacing w:line="139" w:lineRule="exact" w:before="141"/>
              <w:ind w:right="41"/>
              <w:jc w:val="right"/>
              <w:rPr>
                <w:b/>
                <w:sz w:val="14"/>
              </w:rPr>
            </w:pPr>
            <w:r>
              <w:rPr>
                <w:b/>
                <w:sz w:val="14"/>
              </w:rPr>
              <w:t>1,85%</w:t>
            </w:r>
          </w:p>
        </w:tc>
      </w:tr>
    </w:tbl>
    <w:p>
      <w:pPr>
        <w:pStyle w:val="BodyText"/>
        <w:spacing w:before="3"/>
        <w:rPr>
          <w:sz w:val="17"/>
        </w:rPr>
      </w:pPr>
    </w:p>
    <w:p>
      <w:pPr>
        <w:pStyle w:val="BodyText"/>
        <w:spacing w:line="232" w:lineRule="auto"/>
        <w:ind w:left="1435" w:right="790" w:firstLine="648"/>
        <w:jc w:val="both"/>
      </w:pPr>
      <w:r>
        <w:rPr/>
        <w:t>En consecuencia, con base en los cálculos detallados se cumple el objetivo de estabilidad presupuestaria de acuerdo con el artículo 16.2 del Real Decreto 1463/2007 de 2 de noviembre, por el que se aprueba el reglamento de desarrollo de la Ley 18/2001, de 12 de diciembre, de Estabilidad Presupuestaria en  su aplicación a las Entidades</w:t>
      </w:r>
      <w:r>
        <w:rPr>
          <w:spacing w:val="2"/>
        </w:rPr>
        <w:t> </w:t>
      </w:r>
      <w:r>
        <w:rPr/>
        <w:t>Locales</w:t>
      </w:r>
    </w:p>
    <w:p>
      <w:pPr>
        <w:pStyle w:val="BodyText"/>
        <w:rPr>
          <w:sz w:val="20"/>
        </w:rPr>
      </w:pPr>
    </w:p>
    <w:p>
      <w:pPr>
        <w:pStyle w:val="BodyText"/>
        <w:rPr>
          <w:sz w:val="20"/>
        </w:rPr>
      </w:pPr>
    </w:p>
    <w:p>
      <w:pPr>
        <w:pStyle w:val="BodyText"/>
        <w:rPr>
          <w:sz w:val="20"/>
        </w:rPr>
      </w:pPr>
    </w:p>
    <w:p>
      <w:pPr>
        <w:pStyle w:val="BodyText"/>
        <w:rPr>
          <w:sz w:val="12"/>
        </w:rPr>
      </w:pPr>
    </w:p>
    <w:p>
      <w:pPr>
        <w:pStyle w:val="BodyText"/>
        <w:spacing w:before="6"/>
        <w:rPr>
          <w:sz w:val="9"/>
        </w:rPr>
      </w:pPr>
    </w:p>
    <w:p>
      <w:pPr>
        <w:spacing w:line="182" w:lineRule="auto" w:before="1"/>
        <w:ind w:left="4264" w:right="680" w:hanging="2261"/>
        <w:jc w:val="left"/>
        <w:rPr>
          <w:rFonts w:ascii="Tahoma" w:hAnsi="Tahoma"/>
          <w:sz w:val="10"/>
        </w:rPr>
      </w:pPr>
      <w:r>
        <w:rPr>
          <w:rFonts w:ascii="Tahoma" w:hAnsi="Tahoma"/>
          <w:color w:val="585858"/>
          <w:sz w:val="10"/>
        </w:rPr>
        <w:t>cmo. Ayuntamiento de Los Llanos de Aridane – CIF: P3802400F • Plaza de España S/N. C.P. 38760. Los Llanos de Aridane. La Palma • Tfno.: 922 460 111 • Fax.: 922 461 264 </w:t>
      </w:r>
      <w:hyperlink r:id="rId6">
        <w:r>
          <w:rPr>
            <w:rFonts w:ascii="Tahoma" w:hAnsi="Tahoma"/>
            <w:color w:val="0000FF"/>
            <w:sz w:val="10"/>
            <w:u w:val="single" w:color="0000FF"/>
          </w:rPr>
          <w:t>www.aridane.org</w:t>
        </w:r>
        <w:r>
          <w:rPr>
            <w:rFonts w:ascii="Tahoma" w:hAnsi="Tahoma"/>
            <w:color w:val="0000FF"/>
            <w:sz w:val="10"/>
          </w:rPr>
          <w:t> </w:t>
        </w:r>
      </w:hyperlink>
      <w:r>
        <w:rPr>
          <w:rFonts w:ascii="Tahoma" w:hAnsi="Tahoma"/>
          <w:color w:val="585858"/>
          <w:sz w:val="10"/>
        </w:rPr>
        <w:t>• </w:t>
      </w:r>
      <w:r>
        <w:rPr>
          <w:rFonts w:ascii="Tahoma" w:hAnsi="Tahoma"/>
          <w:color w:val="0000FF"/>
          <w:sz w:val="10"/>
          <w:u w:val="single" w:color="0000FF"/>
        </w:rPr>
        <w:t>eadmin.aridane.org</w:t>
      </w:r>
      <w:r>
        <w:rPr>
          <w:rFonts w:ascii="Tahoma" w:hAnsi="Tahoma"/>
          <w:color w:val="0000FF"/>
          <w:sz w:val="10"/>
        </w:rPr>
        <w:t> </w:t>
      </w:r>
      <w:r>
        <w:rPr>
          <w:rFonts w:ascii="Tahoma" w:hAnsi="Tahoma"/>
          <w:color w:val="585858"/>
          <w:sz w:val="10"/>
        </w:rPr>
        <w:t>• e-mail: </w:t>
      </w:r>
      <w:hyperlink r:id="rId7">
        <w:r>
          <w:rPr>
            <w:rFonts w:ascii="Tahoma" w:hAnsi="Tahoma"/>
            <w:color w:val="585858"/>
            <w:sz w:val="10"/>
          </w:rPr>
          <w:t>informacion@aridane.org</w:t>
        </w:r>
      </w:hyperlink>
    </w:p>
    <w:p>
      <w:pPr>
        <w:spacing w:after="0" w:line="182" w:lineRule="auto"/>
        <w:jc w:val="left"/>
        <w:rPr>
          <w:rFonts w:ascii="Tahoma" w:hAnsi="Tahoma"/>
          <w:sz w:val="10"/>
        </w:rPr>
        <w:sectPr>
          <w:pgSz w:w="11910" w:h="16840"/>
          <w:pgMar w:header="390" w:footer="1200" w:top="2220" w:bottom="1400" w:left="380" w:right="380"/>
        </w:sectPr>
      </w:pPr>
    </w:p>
    <w:p>
      <w:pPr>
        <w:pStyle w:val="BodyText"/>
        <w:spacing w:before="5"/>
        <w:rPr>
          <w:rFonts w:ascii="Tahoma"/>
          <w:sz w:val="25"/>
        </w:rPr>
      </w:pPr>
      <w:r>
        <w:rPr/>
        <w:pict>
          <v:shape style="position:absolute;margin-left:25.000002pt;margin-top:774.919983pt;width:60pt;height:7.55pt;mso-position-horizontal-relative:page;mso-position-vertical-relative:page;z-index:1144" coordorigin="500,15498" coordsize="1200,151" path="m1700,15498l500,15498,500,15629,500,15649,1700,15649,1700,15629,1700,15498e" filled="true" fillcolor="#f0f0f0" stroked="false">
            <v:path arrowok="t"/>
            <v:fill type="solid"/>
            <w10:wrap type="none"/>
          </v:shape>
        </w:pict>
      </w:r>
    </w:p>
    <w:p>
      <w:pPr>
        <w:pStyle w:val="Heading1"/>
        <w:spacing w:before="103"/>
      </w:pPr>
      <w:r>
        <w:rPr>
          <w:u w:val="single"/>
        </w:rPr>
        <w:t>QUINTO.- REGLA DE GASTO</w:t>
      </w:r>
    </w:p>
    <w:p>
      <w:pPr>
        <w:pStyle w:val="BodyText"/>
        <w:spacing w:before="6"/>
        <w:rPr>
          <w:b/>
          <w:sz w:val="17"/>
        </w:rPr>
      </w:pPr>
    </w:p>
    <w:p>
      <w:pPr>
        <w:pStyle w:val="BodyText"/>
        <w:spacing w:line="232" w:lineRule="auto"/>
        <w:ind w:left="1435" w:right="785"/>
        <w:jc w:val="both"/>
      </w:pPr>
      <w:r>
        <w:rPr/>
        <w:t>La suspensión de la regla de gasto va a significar que las obligaciones reconocidas netas de los capítulos 1 a 7 podrán superan el límite máximo de gasto no  financiero pudiendo producirse incumplimientos de la misma, sin dar lugar     a aplicar las medidas previstas para los supuestos  de  incumplimiento,  es  decir, sin ser necesaria la aprobación de un</w:t>
      </w:r>
      <w:r>
        <w:rPr>
          <w:spacing w:val="12"/>
        </w:rPr>
        <w:t> </w:t>
      </w:r>
      <w:r>
        <w:rPr/>
        <w:t>PEF.</w:t>
      </w:r>
    </w:p>
    <w:p>
      <w:pPr>
        <w:pStyle w:val="BodyText"/>
        <w:spacing w:before="1"/>
        <w:rPr>
          <w:sz w:val="17"/>
        </w:rPr>
      </w:pPr>
    </w:p>
    <w:p>
      <w:pPr>
        <w:pStyle w:val="BodyText"/>
        <w:spacing w:line="232" w:lineRule="auto"/>
        <w:ind w:left="1435" w:right="785"/>
        <w:jc w:val="both"/>
      </w:pPr>
      <w:r>
        <w:rPr/>
        <w:t>Sin embargo, existe un matiz más en esta cuestión; y es que al estar suspendida  la regla del gasto, también lo está la tasa de referencia del crecimiento del PIB para los ejercicios 2020 y 2021 (2,9% y 3% respectivamente) y con ello, se imposibilita su cálculo incluso a efectos informativos. Así, las obligaciones reconocidas netas de los capítulos 1 a 7 de las Entidades Locales podrán alcanzar el importe que así considere la Corporación (en términos de responsabilidad  fiscal y prudencia), sin existir límite máximo para los ejercicios 2020 y</w:t>
      </w:r>
      <w:r>
        <w:rPr>
          <w:spacing w:val="81"/>
        </w:rPr>
        <w:t> </w:t>
      </w:r>
      <w:r>
        <w:rPr/>
        <w:t>2021.</w:t>
      </w: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line="232" w:lineRule="auto"/>
        <w:ind w:left="1435" w:right="793"/>
        <w:jc w:val="both"/>
      </w:pPr>
      <w:r>
        <w:rPr/>
        <w:t>Es todo lo que he de informar, sin perjuicio de cualquier otro informe mejor fundado en derecho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rPr>
          <w:sz w:val="11"/>
        </w:rPr>
      </w:pPr>
    </w:p>
    <w:p>
      <w:pPr>
        <w:spacing w:line="182" w:lineRule="auto" w:before="1"/>
        <w:ind w:left="4264" w:right="680" w:hanging="2261"/>
        <w:jc w:val="left"/>
        <w:rPr>
          <w:rFonts w:ascii="Tahoma" w:hAnsi="Tahoma"/>
          <w:sz w:val="10"/>
        </w:rPr>
      </w:pPr>
      <w:r>
        <w:rPr>
          <w:rFonts w:ascii="Tahoma" w:hAnsi="Tahoma"/>
          <w:color w:val="585858"/>
          <w:sz w:val="10"/>
        </w:rPr>
        <w:t>cmo. Ayuntamiento de Los Llanos de Aridane – CIF: P3802400F • Plaza de España S/N. C.P. 38760. Los Llanos de Aridane. La Palma • Tfno.: 922 460 111 • Fax.: 922 461 264 </w:t>
      </w:r>
      <w:hyperlink r:id="rId6">
        <w:r>
          <w:rPr>
            <w:rFonts w:ascii="Tahoma" w:hAnsi="Tahoma"/>
            <w:color w:val="0000FF"/>
            <w:sz w:val="10"/>
            <w:u w:val="single" w:color="0000FF"/>
          </w:rPr>
          <w:t>www.aridane.org</w:t>
        </w:r>
        <w:r>
          <w:rPr>
            <w:rFonts w:ascii="Tahoma" w:hAnsi="Tahoma"/>
            <w:color w:val="0000FF"/>
            <w:sz w:val="10"/>
          </w:rPr>
          <w:t> </w:t>
        </w:r>
      </w:hyperlink>
      <w:r>
        <w:rPr>
          <w:rFonts w:ascii="Tahoma" w:hAnsi="Tahoma"/>
          <w:color w:val="585858"/>
          <w:sz w:val="10"/>
        </w:rPr>
        <w:t>• </w:t>
      </w:r>
      <w:r>
        <w:rPr>
          <w:rFonts w:ascii="Tahoma" w:hAnsi="Tahoma"/>
          <w:color w:val="0000FF"/>
          <w:sz w:val="10"/>
          <w:u w:val="single" w:color="0000FF"/>
        </w:rPr>
        <w:t>eadmin.aridane.org</w:t>
      </w:r>
      <w:r>
        <w:rPr>
          <w:rFonts w:ascii="Tahoma" w:hAnsi="Tahoma"/>
          <w:color w:val="0000FF"/>
          <w:sz w:val="10"/>
        </w:rPr>
        <w:t> </w:t>
      </w:r>
      <w:r>
        <w:rPr>
          <w:rFonts w:ascii="Tahoma" w:hAnsi="Tahoma"/>
          <w:color w:val="585858"/>
          <w:sz w:val="10"/>
        </w:rPr>
        <w:t>• e-mail: </w:t>
      </w:r>
      <w:hyperlink r:id="rId7">
        <w:r>
          <w:rPr>
            <w:rFonts w:ascii="Tahoma" w:hAnsi="Tahoma"/>
            <w:color w:val="585858"/>
            <w:sz w:val="10"/>
          </w:rPr>
          <w:t>informacion@aridane.org</w:t>
        </w:r>
      </w:hyperlink>
    </w:p>
    <w:sectPr>
      <w:pgSz w:w="11910" w:h="16840"/>
      <w:pgMar w:header="390" w:footer="1200" w:top="2220" w:bottom="140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onstantia">
    <w:altName w:val="Constantia"/>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5.950pt;height:50.5pt;mso-position-horizontal-relative:page;mso-position-vertical-relative:page;z-index:1096" type="#_x0000_t202" filled="false" stroked="false">
          <v:textbox inset="0,0,0,0">
            <w:txbxContent>
              <w:tbl>
                <w:tblPr>
                  <w:tblW w:w="0" w:type="auto"/>
                  <w:jc w:val="left"/>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ayout w:type="fixed"/>
                  <w:tblCellMar>
                    <w:top w:w="0" w:type="dxa"/>
                    <w:left w:w="0" w:type="dxa"/>
                    <w:bottom w:w="0" w:type="dxa"/>
                    <w:right w:w="0" w:type="dxa"/>
                  </w:tblCellMar>
                  <w:tblLook w:val="01E0"/>
                </w:tblPr>
                <w:tblGrid>
                  <w:gridCol w:w="1200"/>
                  <w:gridCol w:w="6304"/>
                  <w:gridCol w:w="1800"/>
                  <w:gridCol w:w="1600"/>
                </w:tblGrid>
                <w:tr>
                  <w:trPr>
                    <w:trHeight w:val="200" w:hRule="atLeast"/>
                  </w:trPr>
                  <w:tc>
                    <w:tcPr>
                      <w:tcW w:w="1200" w:type="dxa"/>
                      <w:tcBorders>
                        <w:left w:val="single" w:sz="4" w:space="0" w:color="000000"/>
                        <w:bottom w:val="single" w:sz="4" w:space="0" w:color="000000"/>
                        <w:right w:val="single" w:sz="4" w:space="0" w:color="000000"/>
                      </w:tcBorders>
                    </w:tcPr>
                    <w:p>
                      <w:pPr>
                        <w:pStyle w:val="TableParagraph"/>
                        <w:spacing w:line="240" w:lineRule="auto" w:before="28"/>
                        <w:ind w:left="230"/>
                        <w:rPr>
                          <w:rFonts w:ascii="Arial"/>
                          <w:b/>
                          <w:sz w:val="12"/>
                        </w:rPr>
                      </w:pPr>
                      <w:r>
                        <w:rPr>
                          <w:rFonts w:ascii="Arial"/>
                          <w:b/>
                          <w:sz w:val="12"/>
                        </w:rPr>
                        <w:t>Firmado por:</w:t>
                      </w:r>
                    </w:p>
                  </w:tc>
                  <w:tc>
                    <w:tcPr>
                      <w:tcW w:w="63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left="65"/>
                        <w:rPr>
                          <w:rFonts w:ascii="Arial" w:hAnsi="Arial"/>
                          <w:sz w:val="12"/>
                        </w:rPr>
                      </w:pPr>
                      <w:r>
                        <w:rPr>
                          <w:rFonts w:ascii="Arial" w:hAnsi="Arial"/>
                          <w:sz w:val="12"/>
                        </w:rPr>
                        <w:t>MARÍA MONTSERRAT ALEJANDRE SISCART - Interventora</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left="65"/>
                        <w:rPr>
                          <w:rFonts w:ascii="Arial"/>
                          <w:sz w:val="12"/>
                        </w:rPr>
                      </w:pPr>
                      <w:r>
                        <w:rPr>
                          <w:rFonts w:ascii="Arial"/>
                          <w:sz w:val="12"/>
                        </w:rPr>
                        <w:t>Fecha: 11-02-2021 13:29:43</w:t>
                      </w:r>
                    </w:p>
                  </w:tc>
                  <w:tc>
                    <w:tcPr>
                      <w:tcW w:w="160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rPr>
                          <w:rFonts w:ascii="Times New Roman"/>
                          <w:sz w:val="16"/>
                        </w:rPr>
                      </w:pPr>
                    </w:p>
                  </w:tc>
                </w:tr>
                <w:tr>
                  <w:trPr>
                    <w:trHeight w:val="510" w:hRule="atLeast"/>
                  </w:trPr>
                  <w:tc>
                    <w:tcPr>
                      <w:tcW w:w="9304" w:type="dxa"/>
                      <w:gridSpan w:val="3"/>
                      <w:tcBorders>
                        <w:top w:val="single" w:sz="4" w:space="0" w:color="000000"/>
                        <w:left w:val="single" w:sz="4" w:space="0" w:color="000000"/>
                        <w:bottom w:val="single" w:sz="4" w:space="0" w:color="000000"/>
                        <w:right w:val="single" w:sz="4" w:space="0" w:color="000000"/>
                      </w:tcBorders>
                    </w:tcPr>
                    <w:p>
                      <w:pPr>
                        <w:pStyle w:val="TableParagraph"/>
                        <w:spacing w:line="348" w:lineRule="auto" w:before="82"/>
                        <w:ind w:left="1644" w:right="565" w:hanging="409"/>
                        <w:rPr>
                          <w:rFonts w:ascii="Arial" w:hAnsi="Arial"/>
                          <w:sz w:val="12"/>
                        </w:rPr>
                      </w:pPr>
                      <w:r>
                        <w:rPr>
                          <w:rFonts w:ascii="Arial" w:hAnsi="Arial"/>
                          <w:sz w:val="12"/>
                        </w:rPr>
                        <w:t>Nº expediente administrativo: 2021-000281 Código Seguro de Verificación (CSV): DBB0CD67AA1281BC15E003B5960DC72F Comprobación CSV: https://eadmin.aridane.org//publico/documento/DBB0CD67AA1281BC15E003B5960DC72F</w:t>
                      </w:r>
                    </w:p>
                  </w:tc>
                  <w:tc>
                    <w:tcPr>
                      <w:tcW w:w="1600" w:type="dxa"/>
                      <w:vMerge/>
                      <w:tcBorders>
                        <w:top w:val="nil"/>
                        <w:left w:val="single" w:sz="4" w:space="0" w:color="000000"/>
                        <w:bottom w:val="single" w:sz="4" w:space="0" w:color="000000"/>
                        <w:right w:val="single" w:sz="4" w:space="0" w:color="000000"/>
                      </w:tcBorders>
                    </w:tcPr>
                    <w:p>
                      <w:pPr>
                        <w:rPr>
                          <w:sz w:val="2"/>
                          <w:szCs w:val="2"/>
                        </w:rPr>
                      </w:pPr>
                    </w:p>
                  </w:tc>
                </w:tr>
                <w:tr>
                  <w:trPr>
                    <w:trHeight w:val="259" w:hRule="atLeast"/>
                  </w:trPr>
                  <w:tc>
                    <w:tcPr>
                      <w:tcW w:w="9304" w:type="dxa"/>
                      <w:gridSpan w:val="3"/>
                      <w:tcBorders>
                        <w:top w:val="single" w:sz="4" w:space="0" w:color="000000"/>
                        <w:left w:val="single" w:sz="4" w:space="0" w:color="000000"/>
                        <w:bottom w:val="single" w:sz="4" w:space="0" w:color="000000"/>
                        <w:right w:val="single" w:sz="4" w:space="0" w:color="000000"/>
                      </w:tcBorders>
                    </w:tcPr>
                    <w:p>
                      <w:pPr>
                        <w:pStyle w:val="TableParagraph"/>
                        <w:tabs>
                          <w:tab w:pos="5079" w:val="left" w:leader="none"/>
                          <w:tab w:pos="6368" w:val="left" w:leader="none"/>
                        </w:tabs>
                        <w:spacing w:line="240" w:lineRule="auto" w:before="61"/>
                        <w:ind w:left="60"/>
                        <w:rPr>
                          <w:rFonts w:ascii="Arial" w:hAnsi="Arial"/>
                          <w:sz w:val="12"/>
                        </w:rPr>
                      </w:pPr>
                      <w:r>
                        <w:rPr>
                          <w:rFonts w:ascii="Arial" w:hAnsi="Arial"/>
                          <w:position w:val="1"/>
                          <w:sz w:val="12"/>
                        </w:rPr>
                        <w:t>Fecha de sellado electrónico: 17-02-2021 12:47:07</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2</w:t>
                      </w:r>
                      <w:r>
                        <w:rPr/>
                        <w:fldChar w:fldCharType="end"/>
                      </w:r>
                      <w:r>
                        <w:rPr>
                          <w:rFonts w:ascii="Arial" w:hAnsi="Arial"/>
                          <w:color w:val="3F3F3F"/>
                          <w:sz w:val="12"/>
                        </w:rPr>
                        <w:t>/5 -</w:t>
                        <w:tab/>
                      </w:r>
                      <w:r>
                        <w:rPr>
                          <w:rFonts w:ascii="Arial" w:hAnsi="Arial"/>
                          <w:position w:val="1"/>
                          <w:sz w:val="12"/>
                        </w:rPr>
                        <w:t>Fecha de emisión de esta copia: 04-05-2021 14:09:54</w:t>
                      </w:r>
                    </w:p>
                  </w:tc>
                  <w:tc>
                    <w:tcPr>
                      <w:tcW w:w="1600" w:type="dxa"/>
                      <w:vMerge/>
                      <w:tcBorders>
                        <w:top w:val="nil"/>
                        <w:left w:val="single" w:sz="4" w:space="0" w:color="000000"/>
                        <w:bottom w:val="single" w:sz="4" w:space="0" w:color="000000"/>
                        <w:right w:val="single" w:sz="4" w:space="0" w:color="000000"/>
                      </w:tcBorders>
                    </w:tcPr>
                    <w:p>
                      <w:pPr>
                        <w:rPr>
                          <w:sz w:val="2"/>
                          <w:szCs w:val="2"/>
                        </w:rPr>
                      </w:pP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8639">
          <wp:simplePos x="0" y="0"/>
          <wp:positionH relativeFrom="page">
            <wp:posOffset>1547372</wp:posOffset>
          </wp:positionH>
          <wp:positionV relativeFrom="page">
            <wp:posOffset>247762</wp:posOffset>
          </wp:positionV>
          <wp:extent cx="419333" cy="419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19333" cy="419912"/>
                  </a:xfrm>
                  <a:prstGeom prst="rect">
                    <a:avLst/>
                  </a:prstGeom>
                </pic:spPr>
              </pic:pic>
            </a:graphicData>
          </a:graphic>
        </wp:anchor>
      </w:drawing>
    </w:r>
    <w:r>
      <w:rPr/>
      <w:pict>
        <v:group style="position:absolute;margin-left:258.729797pt;margin-top:34.613419pt;width:272pt;height:23.05pt;mso-position-horizontal-relative:page;mso-position-vertical-relative:page;z-index:-16792" coordorigin="5175,692" coordsize="5440,461">
          <v:rect style="position:absolute;left:5183;top:692;width:9;height:9" filled="true" fillcolor="#000000" stroked="false">
            <v:fill type="solid"/>
          </v:rect>
          <v:line style="position:absolute" from="5192,697" to="7373,697" stroked="true" strokeweight=".437813pt" strokecolor="#000000">
            <v:stroke dashstyle="solid"/>
          </v:line>
          <v:rect style="position:absolute;left:7381;top:692;width:9;height:9" filled="true" fillcolor="#000000" stroked="false">
            <v:fill type="solid"/>
          </v:rect>
          <v:line style="position:absolute" from="7391,697" to="10605,697" stroked="true" strokeweight=".437813pt" strokecolor="#000000">
            <v:stroke dashstyle="solid"/>
          </v:line>
          <v:line style="position:absolute" from="5179,692" to="5179,1152" stroked="true" strokeweight=".437813pt" strokecolor="#000000">
            <v:stroke dashstyle="solid"/>
          </v:line>
          <v:line style="position:absolute" from="7378,692" to="7378,1152" stroked="true" strokeweight=".437813pt" strokecolor="#000000">
            <v:stroke dashstyle="solid"/>
          </v:line>
          <v:line style="position:absolute" from="10610,692" to="10610,1152" stroked="true" strokeweight=".437813pt" strokecolor="#000000">
            <v:stroke dashstyle="solid"/>
          </v:line>
          <v:rect style="position:absolute;left:5183;top:1143;width:9;height:9" filled="true" fillcolor="#000000" stroked="false">
            <v:fill type="solid"/>
          </v:rect>
          <v:line style="position:absolute" from="5192,1148" to="7373,1148" stroked="true" strokeweight=".437813pt" strokecolor="#000000">
            <v:stroke dashstyle="solid"/>
          </v:line>
          <v:rect style="position:absolute;left:7381;top:1143;width:9;height:9" filled="true" fillcolor="#000000" stroked="false">
            <v:fill type="solid"/>
          </v:rect>
          <v:line style="position:absolute" from="7391,1148" to="10605,1148" stroked="true" strokeweight=".437813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13.436096pt;margin-top:38.442223pt;width:72.05pt;height:15.25pt;mso-position-horizontal-relative:page;mso-position-vertical-relative:page;z-index:-16768" type="#_x0000_t202" filled="false" stroked="false">
          <v:textbox inset="0,0,0,0">
            <w:txbxContent>
              <w:p>
                <w:pPr>
                  <w:spacing w:before="19"/>
                  <w:ind w:left="20" w:right="0" w:firstLine="0"/>
                  <w:jc w:val="left"/>
                  <w:rPr>
                    <w:rFonts w:ascii="Tahoma"/>
                    <w:b/>
                    <w:sz w:val="22"/>
                  </w:rPr>
                </w:pPr>
                <w:r>
                  <w:rPr>
                    <w:rFonts w:ascii="Tahoma"/>
                    <w:b/>
                    <w:sz w:val="22"/>
                  </w:rPr>
                  <w:t>2021000281</w:t>
                </w:r>
              </w:p>
            </w:txbxContent>
          </v:textbox>
          <w10:wrap type="none"/>
        </v:shape>
      </w:pict>
    </w:r>
    <w:r>
      <w:rPr/>
      <w:pict>
        <v:shape style="position:absolute;margin-left:278.106354pt;margin-top:39.537613pt;width:71.45pt;height:13.1pt;mso-position-horizontal-relative:page;mso-position-vertical-relative:page;z-index:-16744" type="#_x0000_t202" filled="false" stroked="false">
          <v:textbox inset="0,0,0,0">
            <w:txbxContent>
              <w:p>
                <w:pPr>
                  <w:spacing w:before="24"/>
                  <w:ind w:left="20" w:right="0" w:firstLine="0"/>
                  <w:jc w:val="left"/>
                  <w:rPr>
                    <w:rFonts w:ascii="Tahoma" w:hAnsi="Tahoma"/>
                    <w:b/>
                    <w:sz w:val="18"/>
                  </w:rPr>
                </w:pPr>
                <w:r>
                  <w:rPr>
                    <w:rFonts w:ascii="Tahoma" w:hAnsi="Tahoma"/>
                    <w:b/>
                    <w:sz w:val="18"/>
                  </w:rPr>
                  <w:t>Expediente Nº:</w:t>
                </w:r>
              </w:p>
            </w:txbxContent>
          </v:textbox>
          <w10:wrap type="none"/>
        </v:shape>
      </w:pict>
    </w:r>
    <w:r>
      <w:rPr/>
      <w:pict>
        <v:shape style="position:absolute;margin-left:92.167252pt;margin-top:63.888382pt;width:92.4pt;height:49.1pt;mso-position-horizontal-relative:page;mso-position-vertical-relative:page;z-index:-16720" type="#_x0000_t202" filled="false" stroked="false">
          <v:textbox inset="0,0,0,0">
            <w:txbxContent>
              <w:p>
                <w:pPr>
                  <w:spacing w:line="166" w:lineRule="exact" w:before="0"/>
                  <w:ind w:left="6" w:right="0" w:firstLine="0"/>
                  <w:jc w:val="center"/>
                  <w:rPr>
                    <w:rFonts w:ascii="Constantia"/>
                    <w:b/>
                    <w:sz w:val="14"/>
                  </w:rPr>
                </w:pPr>
                <w:r>
                  <w:rPr>
                    <w:rFonts w:ascii="Constantia"/>
                    <w:b/>
                    <w:w w:val="105"/>
                    <w:sz w:val="14"/>
                  </w:rPr>
                  <w:t>AYUNTAMIENTO</w:t>
                </w:r>
              </w:p>
              <w:p>
                <w:pPr>
                  <w:spacing w:before="4"/>
                  <w:ind w:left="2" w:right="0" w:firstLine="0"/>
                  <w:jc w:val="center"/>
                  <w:rPr>
                    <w:rFonts w:ascii="Constantia"/>
                    <w:b/>
                    <w:sz w:val="14"/>
                  </w:rPr>
                </w:pPr>
                <w:r>
                  <w:rPr>
                    <w:rFonts w:ascii="Constantia"/>
                    <w:b/>
                    <w:w w:val="105"/>
                    <w:sz w:val="14"/>
                  </w:rPr>
                  <w:t>de</w:t>
                </w:r>
              </w:p>
              <w:p>
                <w:pPr>
                  <w:spacing w:before="4"/>
                  <w:ind w:left="0" w:right="0" w:firstLine="0"/>
                  <w:jc w:val="center"/>
                  <w:rPr>
                    <w:rFonts w:ascii="Constantia"/>
                    <w:b/>
                    <w:sz w:val="14"/>
                  </w:rPr>
                </w:pPr>
                <w:r>
                  <w:rPr>
                    <w:rFonts w:ascii="Constantia"/>
                    <w:b/>
                    <w:w w:val="105"/>
                    <w:sz w:val="14"/>
                  </w:rPr>
                  <w:t>LOS LLANOS DE ARIDANE</w:t>
                </w:r>
              </w:p>
              <w:p>
                <w:pPr>
                  <w:spacing w:before="2"/>
                  <w:ind w:left="510" w:right="0" w:firstLine="0"/>
                  <w:jc w:val="left"/>
                  <w:rPr>
                    <w:rFonts w:ascii="Constantia"/>
                    <w:sz w:val="11"/>
                  </w:rPr>
                </w:pPr>
                <w:r>
                  <w:rPr>
                    <w:rFonts w:ascii="Constantia"/>
                    <w:sz w:val="11"/>
                  </w:rPr>
                  <w:t>N.R.E.L. 01380244</w:t>
                </w:r>
              </w:p>
              <w:p>
                <w:pPr>
                  <w:spacing w:before="4"/>
                  <w:ind w:left="1" w:right="0" w:firstLine="0"/>
                  <w:jc w:val="center"/>
                  <w:rPr>
                    <w:rFonts w:ascii="Constantia"/>
                    <w:b/>
                    <w:sz w:val="14"/>
                  </w:rPr>
                </w:pPr>
                <w:r>
                  <w:rPr>
                    <w:rFonts w:ascii="Constantia"/>
                    <w:b/>
                    <w:w w:val="105"/>
                    <w:sz w:val="14"/>
                  </w:rPr>
                  <w:t>_________</w:t>
                </w:r>
              </w:p>
              <w:p>
                <w:pPr>
                  <w:spacing w:before="2"/>
                  <w:ind w:left="4" w:right="0" w:firstLine="0"/>
                  <w:jc w:val="center"/>
                  <w:rPr>
                    <w:rFonts w:ascii="Constantia"/>
                    <w:b/>
                    <w:sz w:val="11"/>
                  </w:rPr>
                </w:pPr>
                <w:r>
                  <w:rPr>
                    <w:rFonts w:ascii="Constantia"/>
                    <w:b/>
                    <w:sz w:val="11"/>
                  </w:rPr>
                  <w:t>LA PALMA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982" w:hanging="548"/>
        <w:jc w:val="left"/>
      </w:pPr>
      <w:rPr>
        <w:rFonts w:hint="default"/>
      </w:rPr>
    </w:lvl>
    <w:lvl w:ilvl="1">
      <w:start w:val="2"/>
      <w:numFmt w:val="decimal"/>
      <w:lvlText w:val="%1.%2."/>
      <w:lvlJc w:val="left"/>
      <w:pPr>
        <w:ind w:left="1982" w:hanging="548"/>
        <w:jc w:val="left"/>
      </w:pPr>
      <w:rPr>
        <w:rFonts w:hint="default"/>
        <w:spacing w:val="-1"/>
        <w:w w:val="102"/>
        <w:u w:val="single" w:color="000000"/>
      </w:rPr>
    </w:lvl>
    <w:lvl w:ilvl="2">
      <w:start w:val="1"/>
      <w:numFmt w:val="decimal"/>
      <w:lvlText w:val="%1.%2.%3."/>
      <w:lvlJc w:val="left"/>
      <w:pPr>
        <w:ind w:left="2201" w:hanging="767"/>
        <w:jc w:val="left"/>
      </w:pPr>
      <w:rPr>
        <w:rFonts w:hint="default" w:ascii="Courier New" w:hAnsi="Courier New" w:eastAsia="Courier New" w:cs="Courier New"/>
        <w:spacing w:val="-1"/>
        <w:w w:val="102"/>
        <w:sz w:val="18"/>
        <w:szCs w:val="18"/>
      </w:rPr>
    </w:lvl>
    <w:lvl w:ilvl="3">
      <w:start w:val="0"/>
      <w:numFmt w:val="bullet"/>
      <w:lvlText w:val="•"/>
      <w:lvlJc w:val="left"/>
      <w:pPr>
        <w:ind w:left="4187" w:hanging="767"/>
      </w:pPr>
      <w:rPr>
        <w:rFonts w:hint="default"/>
      </w:rPr>
    </w:lvl>
    <w:lvl w:ilvl="4">
      <w:start w:val="0"/>
      <w:numFmt w:val="bullet"/>
      <w:lvlText w:val="•"/>
      <w:lvlJc w:val="left"/>
      <w:pPr>
        <w:ind w:left="5181" w:hanging="767"/>
      </w:pPr>
      <w:rPr>
        <w:rFonts w:hint="default"/>
      </w:rPr>
    </w:lvl>
    <w:lvl w:ilvl="5">
      <w:start w:val="0"/>
      <w:numFmt w:val="bullet"/>
      <w:lvlText w:val="•"/>
      <w:lvlJc w:val="left"/>
      <w:pPr>
        <w:ind w:left="6175" w:hanging="767"/>
      </w:pPr>
      <w:rPr>
        <w:rFonts w:hint="default"/>
      </w:rPr>
    </w:lvl>
    <w:lvl w:ilvl="6">
      <w:start w:val="0"/>
      <w:numFmt w:val="bullet"/>
      <w:lvlText w:val="•"/>
      <w:lvlJc w:val="left"/>
      <w:pPr>
        <w:ind w:left="7168" w:hanging="767"/>
      </w:pPr>
      <w:rPr>
        <w:rFonts w:hint="default"/>
      </w:rPr>
    </w:lvl>
    <w:lvl w:ilvl="7">
      <w:start w:val="0"/>
      <w:numFmt w:val="bullet"/>
      <w:lvlText w:val="•"/>
      <w:lvlJc w:val="left"/>
      <w:pPr>
        <w:ind w:left="8162" w:hanging="767"/>
      </w:pPr>
      <w:rPr>
        <w:rFonts w:hint="default"/>
      </w:rPr>
    </w:lvl>
    <w:lvl w:ilvl="8">
      <w:start w:val="0"/>
      <w:numFmt w:val="bullet"/>
      <w:lvlText w:val="•"/>
      <w:lvlJc w:val="left"/>
      <w:pPr>
        <w:ind w:left="9156" w:hanging="767"/>
      </w:pPr>
      <w:rPr>
        <w:rFonts w:hint="default"/>
      </w:rPr>
    </w:lvl>
  </w:abstractNum>
  <w:abstractNum w:abstractNumId="0">
    <w:multiLevelType w:val="hybridMultilevel"/>
    <w:lvl w:ilvl="0">
      <w:start w:val="1"/>
      <w:numFmt w:val="decimal"/>
      <w:lvlText w:val="%1"/>
      <w:lvlJc w:val="left"/>
      <w:pPr>
        <w:ind w:left="1982" w:hanging="548"/>
        <w:jc w:val="left"/>
      </w:pPr>
      <w:rPr>
        <w:rFonts w:hint="default"/>
      </w:rPr>
    </w:lvl>
    <w:lvl w:ilvl="1">
      <w:start w:val="1"/>
      <w:numFmt w:val="decimal"/>
      <w:lvlText w:val="%1.%2."/>
      <w:lvlJc w:val="left"/>
      <w:pPr>
        <w:ind w:left="1982" w:hanging="548"/>
        <w:jc w:val="left"/>
      </w:pPr>
      <w:rPr>
        <w:rFonts w:hint="default"/>
        <w:spacing w:val="-1"/>
        <w:w w:val="102"/>
        <w:u w:val="single" w:color="000000"/>
      </w:rPr>
    </w:lvl>
    <w:lvl w:ilvl="2">
      <w:start w:val="1"/>
      <w:numFmt w:val="decimal"/>
      <w:lvlText w:val="%1.%2.%3."/>
      <w:lvlJc w:val="left"/>
      <w:pPr>
        <w:ind w:left="1435" w:hanging="767"/>
        <w:jc w:val="left"/>
      </w:pPr>
      <w:rPr>
        <w:rFonts w:hint="default" w:ascii="Courier New" w:hAnsi="Courier New" w:eastAsia="Courier New" w:cs="Courier New"/>
        <w:spacing w:val="-1"/>
        <w:w w:val="102"/>
        <w:sz w:val="18"/>
        <w:szCs w:val="18"/>
      </w:rPr>
    </w:lvl>
    <w:lvl w:ilvl="3">
      <w:start w:val="0"/>
      <w:numFmt w:val="bullet"/>
      <w:lvlText w:val="•"/>
      <w:lvlJc w:val="left"/>
      <w:pPr>
        <w:ind w:left="4016" w:hanging="767"/>
      </w:pPr>
      <w:rPr>
        <w:rFonts w:hint="default"/>
      </w:rPr>
    </w:lvl>
    <w:lvl w:ilvl="4">
      <w:start w:val="0"/>
      <w:numFmt w:val="bullet"/>
      <w:lvlText w:val="•"/>
      <w:lvlJc w:val="left"/>
      <w:pPr>
        <w:ind w:left="5034" w:hanging="767"/>
      </w:pPr>
      <w:rPr>
        <w:rFonts w:hint="default"/>
      </w:rPr>
    </w:lvl>
    <w:lvl w:ilvl="5">
      <w:start w:val="0"/>
      <w:numFmt w:val="bullet"/>
      <w:lvlText w:val="•"/>
      <w:lvlJc w:val="left"/>
      <w:pPr>
        <w:ind w:left="6052" w:hanging="767"/>
      </w:pPr>
      <w:rPr>
        <w:rFonts w:hint="default"/>
      </w:rPr>
    </w:lvl>
    <w:lvl w:ilvl="6">
      <w:start w:val="0"/>
      <w:numFmt w:val="bullet"/>
      <w:lvlText w:val="•"/>
      <w:lvlJc w:val="left"/>
      <w:pPr>
        <w:ind w:left="7071" w:hanging="767"/>
      </w:pPr>
      <w:rPr>
        <w:rFonts w:hint="default"/>
      </w:rPr>
    </w:lvl>
    <w:lvl w:ilvl="7">
      <w:start w:val="0"/>
      <w:numFmt w:val="bullet"/>
      <w:lvlText w:val="•"/>
      <w:lvlJc w:val="left"/>
      <w:pPr>
        <w:ind w:left="8089" w:hanging="767"/>
      </w:pPr>
      <w:rPr>
        <w:rFonts w:hint="default"/>
      </w:rPr>
    </w:lvl>
    <w:lvl w:ilvl="8">
      <w:start w:val="0"/>
      <w:numFmt w:val="bullet"/>
      <w:lvlText w:val="•"/>
      <w:lvlJc w:val="left"/>
      <w:pPr>
        <w:ind w:left="9107" w:hanging="76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18"/>
      <w:szCs w:val="18"/>
    </w:rPr>
  </w:style>
  <w:style w:styleId="Heading1" w:type="paragraph">
    <w:name w:val="Heading 1"/>
    <w:basedOn w:val="Normal"/>
    <w:uiPriority w:val="1"/>
    <w:qFormat/>
    <w:pPr>
      <w:ind w:left="1435"/>
      <w:outlineLvl w:val="1"/>
    </w:pPr>
    <w:rPr>
      <w:rFonts w:ascii="Courier New" w:hAnsi="Courier New" w:eastAsia="Courier New" w:cs="Courier New"/>
      <w:b/>
      <w:bCs/>
      <w:sz w:val="18"/>
      <w:szCs w:val="18"/>
    </w:rPr>
  </w:style>
  <w:style w:styleId="ListParagraph" w:type="paragraph">
    <w:name w:val="List Paragraph"/>
    <w:basedOn w:val="Normal"/>
    <w:uiPriority w:val="1"/>
    <w:qFormat/>
    <w:pPr>
      <w:ind w:left="1435" w:hanging="547"/>
    </w:pPr>
    <w:rPr>
      <w:rFonts w:ascii="Courier New" w:hAnsi="Courier New" w:eastAsia="Courier New" w:cs="Courier New"/>
    </w:rPr>
  </w:style>
  <w:style w:styleId="TableParagraph" w:type="paragraph">
    <w:name w:val="Table Paragraph"/>
    <w:basedOn w:val="Normal"/>
    <w:uiPriority w:val="1"/>
    <w:qFormat/>
    <w:pPr>
      <w:spacing w:before="8" w:line="135" w:lineRule="exac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aridane.org/" TargetMode="External"/><Relationship Id="rId7" Type="http://schemas.openxmlformats.org/officeDocument/2006/relationships/hyperlink" Target="mailto:informacion@aridane.org" TargetMode="Externa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COPIA - GIYS - Excmo. Ayuntamiento de Los Llanos de Aridane</dc:subject>
  <dcterms:created xsi:type="dcterms:W3CDTF">2021-05-26T08:19:19Z</dcterms:created>
  <dcterms:modified xsi:type="dcterms:W3CDTF">2021-05-26T08:19:19Z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LastSaved">
    <vt:filetime>2021-05-26T00:00:00Z</vt:filetime>
  </property>
</Properties>
</file>